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D3FE2E" w14:textId="1173CA8A" w:rsidR="008C16FE" w:rsidRPr="002D6250" w:rsidRDefault="00B37395" w:rsidP="008C16FE">
      <w:pPr>
        <w:widowControl w:val="0"/>
        <w:autoSpaceDE w:val="0"/>
        <w:autoSpaceDN w:val="0"/>
        <w:adjustRightInd w:val="0"/>
        <w:ind w:right="135"/>
        <w:rPr>
          <w:rFonts w:ascii="Arial" w:eastAsia="Malgun Gothic" w:hAnsi="Arial" w:cs="Arial"/>
          <w:b/>
          <w:sz w:val="36"/>
          <w:szCs w:val="40"/>
          <w:lang w:val="pl-PL" w:eastAsia="de-DE"/>
        </w:rPr>
      </w:pPr>
      <w:r>
        <w:rPr>
          <w:rFonts w:ascii="Arial" w:eastAsia="Malgun Gothic" w:hAnsi="Arial" w:cs="Arial"/>
          <w:b/>
          <w:sz w:val="36"/>
          <w:szCs w:val="40"/>
          <w:lang w:val="pl-PL" w:eastAsia="de-DE"/>
        </w:rPr>
        <w:t>TRILUX w kilku wierszach</w:t>
      </w:r>
    </w:p>
    <w:p w14:paraId="7BCB0A04" w14:textId="77777777" w:rsidR="008C16FE" w:rsidRPr="002D6250" w:rsidRDefault="008C16FE" w:rsidP="008C16FE">
      <w:pPr>
        <w:spacing w:line="276" w:lineRule="auto"/>
        <w:rPr>
          <w:rFonts w:ascii="Arial" w:hAnsi="Arial" w:cs="Arial"/>
          <w:sz w:val="22"/>
          <w:szCs w:val="22"/>
          <w:lang w:val="pl-PL" w:eastAsia="de-DE"/>
        </w:rPr>
      </w:pPr>
    </w:p>
    <w:tbl>
      <w:tblPr>
        <w:tblStyle w:val="Tabellenraster2"/>
        <w:tblW w:w="0" w:type="auto"/>
        <w:tblLook w:val="04A0" w:firstRow="1" w:lastRow="0" w:firstColumn="1" w:lastColumn="0" w:noHBand="0" w:noVBand="1"/>
      </w:tblPr>
      <w:tblGrid>
        <w:gridCol w:w="3539"/>
        <w:gridCol w:w="5523"/>
      </w:tblGrid>
      <w:tr w:rsidR="008C16FE" w:rsidRPr="002D6250" w14:paraId="29AF3907" w14:textId="77777777" w:rsidTr="445467A2">
        <w:tc>
          <w:tcPr>
            <w:tcW w:w="3539" w:type="dxa"/>
          </w:tcPr>
          <w:p w14:paraId="374C3D74" w14:textId="6B86362A" w:rsidR="008C16FE" w:rsidRPr="002D6250" w:rsidRDefault="00C74FDF" w:rsidP="008C16FE">
            <w:pPr>
              <w:spacing w:line="276" w:lineRule="auto"/>
              <w:rPr>
                <w:rFonts w:ascii="Arial" w:hAnsi="Arial" w:cs="Arial"/>
                <w:b/>
                <w:sz w:val="22"/>
                <w:szCs w:val="22"/>
                <w:lang w:val="pl-PL" w:eastAsia="de-DE"/>
              </w:rPr>
            </w:pPr>
            <w:r>
              <w:rPr>
                <w:rFonts w:ascii="Arial" w:hAnsi="Arial" w:cs="Arial"/>
                <w:b/>
                <w:sz w:val="22"/>
                <w:szCs w:val="22"/>
                <w:lang w:val="pl-PL" w:eastAsia="de-DE"/>
              </w:rPr>
              <w:t>Rok założenia</w:t>
            </w:r>
          </w:p>
        </w:tc>
        <w:tc>
          <w:tcPr>
            <w:tcW w:w="5523" w:type="dxa"/>
          </w:tcPr>
          <w:p w14:paraId="02DE6AAE" w14:textId="1745831B" w:rsidR="008C16FE" w:rsidRPr="002D6250" w:rsidRDefault="002D6250" w:rsidP="007D1101">
            <w:pPr>
              <w:spacing w:line="276" w:lineRule="auto"/>
              <w:rPr>
                <w:rFonts w:ascii="Arial" w:hAnsi="Arial" w:cs="Arial"/>
                <w:sz w:val="22"/>
                <w:szCs w:val="22"/>
                <w:lang w:val="pl-PL" w:eastAsia="de-DE"/>
              </w:rPr>
            </w:pPr>
            <w:r w:rsidRPr="002D6250">
              <w:rPr>
                <w:rFonts w:ascii="Arial" w:hAnsi="Arial" w:cs="Arial"/>
                <w:sz w:val="22"/>
                <w:szCs w:val="22"/>
                <w:lang w:val="pl-PL" w:eastAsia="de-DE"/>
              </w:rPr>
              <w:t xml:space="preserve">1912 w </w:t>
            </w:r>
            <w:proofErr w:type="spellStart"/>
            <w:r w:rsidRPr="002D6250">
              <w:rPr>
                <w:rFonts w:ascii="Arial" w:hAnsi="Arial" w:cs="Arial"/>
                <w:sz w:val="22"/>
                <w:szCs w:val="22"/>
                <w:lang w:val="pl-PL" w:eastAsia="de-DE"/>
              </w:rPr>
              <w:t>Menden</w:t>
            </w:r>
            <w:proofErr w:type="spellEnd"/>
            <w:r w:rsidRPr="002D6250">
              <w:rPr>
                <w:rFonts w:ascii="Arial" w:hAnsi="Arial" w:cs="Arial"/>
                <w:sz w:val="22"/>
                <w:szCs w:val="22"/>
                <w:lang w:val="pl-PL" w:eastAsia="de-DE"/>
              </w:rPr>
              <w:t xml:space="preserve"> (</w:t>
            </w:r>
            <w:proofErr w:type="spellStart"/>
            <w:r w:rsidRPr="002D6250">
              <w:rPr>
                <w:rFonts w:ascii="Arial" w:hAnsi="Arial" w:cs="Arial"/>
                <w:sz w:val="22"/>
                <w:szCs w:val="22"/>
                <w:lang w:val="pl-PL" w:eastAsia="de-DE"/>
              </w:rPr>
              <w:t>Sauerland</w:t>
            </w:r>
            <w:proofErr w:type="spellEnd"/>
            <w:r w:rsidRPr="002D6250">
              <w:rPr>
                <w:rFonts w:ascii="Arial" w:hAnsi="Arial" w:cs="Arial"/>
                <w:sz w:val="22"/>
                <w:szCs w:val="22"/>
                <w:lang w:val="pl-PL" w:eastAsia="de-DE"/>
              </w:rPr>
              <w:t xml:space="preserve">) Wilhelm </w:t>
            </w:r>
            <w:proofErr w:type="spellStart"/>
            <w:r w:rsidRPr="002D6250">
              <w:rPr>
                <w:rFonts w:ascii="Arial" w:hAnsi="Arial" w:cs="Arial"/>
                <w:sz w:val="22"/>
                <w:szCs w:val="22"/>
                <w:lang w:val="pl-PL" w:eastAsia="de-DE"/>
              </w:rPr>
              <w:t>Lenze</w:t>
            </w:r>
            <w:proofErr w:type="spellEnd"/>
          </w:p>
        </w:tc>
      </w:tr>
      <w:tr w:rsidR="008C16FE" w:rsidRPr="002D6250" w14:paraId="2361876F" w14:textId="77777777" w:rsidTr="445467A2">
        <w:tc>
          <w:tcPr>
            <w:tcW w:w="3539" w:type="dxa"/>
          </w:tcPr>
          <w:p w14:paraId="71CE9EB2" w14:textId="7E0A4B60" w:rsidR="008C16FE" w:rsidRPr="002D6250" w:rsidRDefault="00B32EF1" w:rsidP="008C16FE">
            <w:pPr>
              <w:spacing w:line="276" w:lineRule="auto"/>
              <w:rPr>
                <w:rFonts w:ascii="Arial" w:hAnsi="Arial" w:cs="Arial"/>
                <w:b/>
                <w:sz w:val="22"/>
                <w:szCs w:val="22"/>
                <w:lang w:val="pl-PL" w:eastAsia="de-DE"/>
              </w:rPr>
            </w:pPr>
            <w:r>
              <w:rPr>
                <w:rFonts w:ascii="Arial" w:hAnsi="Arial" w:cs="Arial"/>
                <w:b/>
                <w:sz w:val="22"/>
                <w:szCs w:val="22"/>
                <w:lang w:val="pl-PL" w:eastAsia="de-DE"/>
              </w:rPr>
              <w:t>Siedziba</w:t>
            </w:r>
          </w:p>
        </w:tc>
        <w:tc>
          <w:tcPr>
            <w:tcW w:w="5523" w:type="dxa"/>
          </w:tcPr>
          <w:p w14:paraId="1EAB0EBF" w14:textId="77777777" w:rsidR="008C16FE" w:rsidRPr="002D6250" w:rsidRDefault="008C16FE" w:rsidP="007D1101">
            <w:pPr>
              <w:spacing w:line="276" w:lineRule="auto"/>
              <w:rPr>
                <w:rFonts w:ascii="Arial" w:hAnsi="Arial" w:cs="Arial"/>
                <w:sz w:val="22"/>
                <w:szCs w:val="22"/>
                <w:lang w:val="pl-PL" w:eastAsia="de-DE"/>
              </w:rPr>
            </w:pPr>
            <w:proofErr w:type="spellStart"/>
            <w:r w:rsidRPr="002D6250">
              <w:rPr>
                <w:rFonts w:ascii="Arial" w:hAnsi="Arial" w:cs="Arial"/>
                <w:sz w:val="22"/>
                <w:szCs w:val="22"/>
                <w:lang w:val="pl-PL" w:eastAsia="de-DE"/>
              </w:rPr>
              <w:t>Arnsberg</w:t>
            </w:r>
            <w:proofErr w:type="spellEnd"/>
          </w:p>
        </w:tc>
      </w:tr>
      <w:tr w:rsidR="008C16FE" w:rsidRPr="002D6250" w14:paraId="2CC7C2B9" w14:textId="77777777" w:rsidTr="445467A2">
        <w:tc>
          <w:tcPr>
            <w:tcW w:w="3539" w:type="dxa"/>
          </w:tcPr>
          <w:p w14:paraId="6F958331" w14:textId="19A9FD17" w:rsidR="008C16FE" w:rsidRPr="002D6250" w:rsidRDefault="00B32EF1" w:rsidP="008C16FE">
            <w:pPr>
              <w:spacing w:line="276" w:lineRule="auto"/>
              <w:rPr>
                <w:rFonts w:ascii="Arial" w:hAnsi="Arial" w:cs="Arial"/>
                <w:b/>
                <w:sz w:val="22"/>
                <w:szCs w:val="22"/>
                <w:lang w:val="pl-PL" w:eastAsia="de-DE"/>
              </w:rPr>
            </w:pPr>
            <w:r>
              <w:rPr>
                <w:rFonts w:ascii="Arial" w:hAnsi="Arial" w:cs="Arial"/>
                <w:b/>
                <w:sz w:val="22"/>
                <w:szCs w:val="22"/>
                <w:lang w:val="pl-PL" w:eastAsia="de-DE"/>
              </w:rPr>
              <w:t>Obroty</w:t>
            </w:r>
            <w:r w:rsidR="00CE1417">
              <w:rPr>
                <w:rFonts w:ascii="Arial" w:hAnsi="Arial" w:cs="Arial"/>
                <w:b/>
                <w:sz w:val="22"/>
                <w:szCs w:val="22"/>
                <w:lang w:val="pl-PL" w:eastAsia="de-DE"/>
              </w:rPr>
              <w:t xml:space="preserve"> za</w:t>
            </w:r>
            <w:r>
              <w:rPr>
                <w:rFonts w:ascii="Arial" w:hAnsi="Arial" w:cs="Arial"/>
                <w:b/>
                <w:sz w:val="22"/>
                <w:szCs w:val="22"/>
                <w:lang w:val="pl-PL" w:eastAsia="de-DE"/>
              </w:rPr>
              <w:t xml:space="preserve"> 2021</w:t>
            </w:r>
            <w:r w:rsidR="00CE1417">
              <w:rPr>
                <w:rFonts w:ascii="Arial" w:hAnsi="Arial" w:cs="Arial"/>
                <w:b/>
                <w:sz w:val="22"/>
                <w:szCs w:val="22"/>
                <w:lang w:val="pl-PL" w:eastAsia="de-DE"/>
              </w:rPr>
              <w:t xml:space="preserve"> rok</w:t>
            </w:r>
          </w:p>
        </w:tc>
        <w:tc>
          <w:tcPr>
            <w:tcW w:w="5523" w:type="dxa"/>
          </w:tcPr>
          <w:p w14:paraId="55D6CEC8" w14:textId="7E241C49" w:rsidR="008C16FE" w:rsidRPr="002D6250" w:rsidRDefault="00287A7F" w:rsidP="007D1101">
            <w:pPr>
              <w:spacing w:line="276" w:lineRule="auto"/>
              <w:rPr>
                <w:rFonts w:ascii="Arial" w:hAnsi="Arial" w:cs="Arial"/>
                <w:sz w:val="22"/>
                <w:szCs w:val="22"/>
                <w:lang w:val="pl-PL" w:eastAsia="de-DE"/>
              </w:rPr>
            </w:pPr>
            <w:r w:rsidRPr="002D6250">
              <w:rPr>
                <w:rFonts w:ascii="Arial" w:hAnsi="Arial" w:cs="Arial"/>
                <w:sz w:val="22"/>
                <w:szCs w:val="22"/>
                <w:lang w:val="pl-PL" w:eastAsia="de-DE"/>
              </w:rPr>
              <w:t xml:space="preserve">653 </w:t>
            </w:r>
            <w:r w:rsidR="00B32EF1">
              <w:rPr>
                <w:rFonts w:ascii="Arial" w:hAnsi="Arial" w:cs="Arial"/>
                <w:sz w:val="22"/>
                <w:szCs w:val="22"/>
                <w:lang w:val="pl-PL" w:eastAsia="de-DE"/>
              </w:rPr>
              <w:t>mln</w:t>
            </w:r>
            <w:r w:rsidRPr="002D6250">
              <w:rPr>
                <w:rFonts w:ascii="Arial" w:hAnsi="Arial" w:cs="Arial"/>
                <w:sz w:val="22"/>
                <w:szCs w:val="22"/>
                <w:lang w:val="pl-PL" w:eastAsia="de-DE"/>
              </w:rPr>
              <w:t xml:space="preserve"> €</w:t>
            </w:r>
          </w:p>
        </w:tc>
      </w:tr>
      <w:tr w:rsidR="008C16FE" w:rsidRPr="002D6250" w14:paraId="08B9650D" w14:textId="77777777" w:rsidTr="445467A2">
        <w:tc>
          <w:tcPr>
            <w:tcW w:w="3539" w:type="dxa"/>
          </w:tcPr>
          <w:p w14:paraId="0685F48C" w14:textId="4F7BBC32" w:rsidR="008C16FE" w:rsidRPr="002D6250" w:rsidRDefault="00B32EF1" w:rsidP="008C16FE">
            <w:pPr>
              <w:spacing w:line="276" w:lineRule="auto"/>
              <w:rPr>
                <w:rFonts w:ascii="Arial" w:hAnsi="Arial" w:cs="Arial"/>
                <w:b/>
                <w:sz w:val="22"/>
                <w:szCs w:val="22"/>
                <w:lang w:val="pl-PL" w:eastAsia="de-DE"/>
              </w:rPr>
            </w:pPr>
            <w:r>
              <w:rPr>
                <w:rFonts w:ascii="Arial" w:hAnsi="Arial" w:cs="Arial"/>
                <w:b/>
                <w:sz w:val="22"/>
                <w:szCs w:val="22"/>
                <w:lang w:val="pl-PL" w:eastAsia="de-DE"/>
              </w:rPr>
              <w:t>Zakłady produkcyjne</w:t>
            </w:r>
          </w:p>
        </w:tc>
        <w:tc>
          <w:tcPr>
            <w:tcW w:w="5523" w:type="dxa"/>
          </w:tcPr>
          <w:p w14:paraId="5C036152" w14:textId="6448D214" w:rsidR="008C16FE" w:rsidRPr="002D6250" w:rsidRDefault="008C16FE" w:rsidP="007D1101">
            <w:pPr>
              <w:spacing w:line="276" w:lineRule="auto"/>
              <w:rPr>
                <w:rFonts w:ascii="Arial" w:hAnsi="Arial" w:cs="Arial"/>
                <w:sz w:val="22"/>
                <w:szCs w:val="22"/>
                <w:lang w:val="pl-PL" w:eastAsia="de-DE"/>
              </w:rPr>
            </w:pPr>
            <w:r w:rsidRPr="002D6250">
              <w:rPr>
                <w:rFonts w:ascii="Arial" w:hAnsi="Arial" w:cs="Arial"/>
                <w:sz w:val="22"/>
                <w:szCs w:val="22"/>
                <w:lang w:val="pl-PL" w:eastAsia="de-DE"/>
              </w:rPr>
              <w:t xml:space="preserve">6 </w:t>
            </w:r>
            <w:r w:rsidR="00B32EF1">
              <w:rPr>
                <w:rFonts w:ascii="Arial" w:hAnsi="Arial" w:cs="Arial"/>
                <w:sz w:val="22"/>
                <w:szCs w:val="22"/>
                <w:lang w:val="pl-PL" w:eastAsia="de-DE"/>
              </w:rPr>
              <w:t>w Europie i Azji</w:t>
            </w:r>
          </w:p>
        </w:tc>
      </w:tr>
      <w:tr w:rsidR="008C16FE" w:rsidRPr="002D6250" w14:paraId="489362B5" w14:textId="77777777" w:rsidTr="445467A2">
        <w:tc>
          <w:tcPr>
            <w:tcW w:w="3539" w:type="dxa"/>
          </w:tcPr>
          <w:p w14:paraId="4B666A88" w14:textId="3A7F1A6C" w:rsidR="008C16FE" w:rsidRPr="002D6250" w:rsidRDefault="00B32EF1" w:rsidP="008C16FE">
            <w:pPr>
              <w:spacing w:line="276" w:lineRule="auto"/>
              <w:rPr>
                <w:rFonts w:ascii="Arial" w:hAnsi="Arial" w:cs="Arial"/>
                <w:b/>
                <w:sz w:val="22"/>
                <w:szCs w:val="22"/>
                <w:lang w:val="pl-PL" w:eastAsia="de-DE"/>
              </w:rPr>
            </w:pPr>
            <w:r>
              <w:rPr>
                <w:rFonts w:ascii="Arial" w:hAnsi="Arial" w:cs="Arial"/>
                <w:b/>
                <w:sz w:val="22"/>
                <w:szCs w:val="22"/>
                <w:lang w:val="pl-PL" w:eastAsia="de-DE"/>
              </w:rPr>
              <w:t>Liczba pracowników</w:t>
            </w:r>
          </w:p>
        </w:tc>
        <w:tc>
          <w:tcPr>
            <w:tcW w:w="5523" w:type="dxa"/>
          </w:tcPr>
          <w:p w14:paraId="3311AFD6" w14:textId="2E1194D7" w:rsidR="008C16FE" w:rsidRPr="002D6250" w:rsidRDefault="00B32EF1" w:rsidP="007D1101">
            <w:pPr>
              <w:spacing w:line="276" w:lineRule="auto"/>
              <w:rPr>
                <w:rFonts w:ascii="Arial" w:hAnsi="Arial" w:cs="Arial"/>
                <w:sz w:val="22"/>
                <w:szCs w:val="22"/>
                <w:lang w:val="pl-PL" w:eastAsia="de-DE"/>
              </w:rPr>
            </w:pPr>
            <w:r>
              <w:rPr>
                <w:rFonts w:ascii="Arial" w:hAnsi="Arial" w:cs="Arial"/>
                <w:sz w:val="22"/>
                <w:szCs w:val="22"/>
                <w:lang w:val="pl-PL" w:eastAsia="de-DE"/>
              </w:rPr>
              <w:t>5100</w:t>
            </w:r>
          </w:p>
        </w:tc>
      </w:tr>
      <w:tr w:rsidR="008C16FE" w:rsidRPr="002D6250" w14:paraId="01DD9116" w14:textId="77777777" w:rsidTr="445467A2">
        <w:trPr>
          <w:trHeight w:val="296"/>
        </w:trPr>
        <w:tc>
          <w:tcPr>
            <w:tcW w:w="3539" w:type="dxa"/>
          </w:tcPr>
          <w:p w14:paraId="593E9BE9" w14:textId="0B2B2557" w:rsidR="008C16FE" w:rsidRPr="002D6250" w:rsidRDefault="00B32EF1" w:rsidP="008C16FE">
            <w:pPr>
              <w:spacing w:line="276" w:lineRule="auto"/>
              <w:rPr>
                <w:rFonts w:ascii="Arial" w:hAnsi="Arial" w:cs="Arial"/>
                <w:b/>
                <w:sz w:val="22"/>
                <w:szCs w:val="22"/>
                <w:lang w:val="pl-PL" w:eastAsia="de-DE"/>
              </w:rPr>
            </w:pPr>
            <w:r>
              <w:rPr>
                <w:rFonts w:ascii="Arial" w:hAnsi="Arial" w:cs="Arial"/>
                <w:b/>
                <w:sz w:val="22"/>
                <w:szCs w:val="22"/>
                <w:lang w:val="pl-PL" w:eastAsia="de-DE"/>
              </w:rPr>
              <w:t>Rynek sprzedaży</w:t>
            </w:r>
          </w:p>
        </w:tc>
        <w:tc>
          <w:tcPr>
            <w:tcW w:w="5523" w:type="dxa"/>
          </w:tcPr>
          <w:p w14:paraId="51F01189" w14:textId="4EC00BFF" w:rsidR="008C16FE" w:rsidRPr="002D6250" w:rsidRDefault="00B32EF1" w:rsidP="007D1101">
            <w:pPr>
              <w:spacing w:line="276" w:lineRule="auto"/>
              <w:rPr>
                <w:rFonts w:ascii="Arial" w:hAnsi="Arial" w:cs="Arial"/>
                <w:sz w:val="22"/>
                <w:szCs w:val="22"/>
                <w:lang w:val="pl-PL" w:eastAsia="de-DE"/>
              </w:rPr>
            </w:pPr>
            <w:r>
              <w:rPr>
                <w:rFonts w:ascii="Arial" w:hAnsi="Arial" w:cs="Arial"/>
                <w:sz w:val="22"/>
                <w:szCs w:val="22"/>
                <w:lang w:val="pl-PL" w:eastAsia="de-DE"/>
              </w:rPr>
              <w:t>50 krajów</w:t>
            </w:r>
          </w:p>
        </w:tc>
      </w:tr>
      <w:tr w:rsidR="008C16FE" w:rsidRPr="002D6250" w14:paraId="69DB27C5" w14:textId="77777777" w:rsidTr="445467A2">
        <w:trPr>
          <w:trHeight w:val="309"/>
        </w:trPr>
        <w:tc>
          <w:tcPr>
            <w:tcW w:w="3539" w:type="dxa"/>
          </w:tcPr>
          <w:p w14:paraId="2C13A414" w14:textId="7FDFD9FC" w:rsidR="008C16FE" w:rsidRPr="002D6250" w:rsidRDefault="00451403" w:rsidP="008C16FE">
            <w:pPr>
              <w:spacing w:line="276" w:lineRule="auto"/>
              <w:rPr>
                <w:rFonts w:ascii="Arial" w:hAnsi="Arial" w:cs="Arial"/>
                <w:b/>
                <w:sz w:val="22"/>
                <w:szCs w:val="22"/>
                <w:lang w:val="pl-PL" w:eastAsia="de-DE"/>
              </w:rPr>
            </w:pPr>
            <w:r w:rsidRPr="00451403">
              <w:rPr>
                <w:rFonts w:ascii="Arial" w:hAnsi="Arial" w:cs="Arial"/>
                <w:b/>
                <w:sz w:val="22"/>
                <w:szCs w:val="22"/>
                <w:lang w:val="pl-PL" w:eastAsia="de-DE"/>
              </w:rPr>
              <w:t>P</w:t>
            </w:r>
            <w:r>
              <w:rPr>
                <w:rFonts w:ascii="Arial" w:hAnsi="Arial" w:cs="Arial"/>
                <w:b/>
                <w:sz w:val="22"/>
                <w:szCs w:val="22"/>
                <w:lang w:val="pl-PL" w:eastAsia="de-DE"/>
              </w:rPr>
              <w:t>rofil działalności - oświetlenie</w:t>
            </w:r>
          </w:p>
        </w:tc>
        <w:tc>
          <w:tcPr>
            <w:tcW w:w="5523" w:type="dxa"/>
          </w:tcPr>
          <w:p w14:paraId="6C5C6037" w14:textId="49BAA197" w:rsidR="00451403" w:rsidRPr="00451403" w:rsidRDefault="00451403" w:rsidP="00451403">
            <w:pPr>
              <w:spacing w:line="276" w:lineRule="auto"/>
              <w:rPr>
                <w:rFonts w:ascii="Arial" w:hAnsi="Arial" w:cs="Arial"/>
                <w:sz w:val="22"/>
                <w:szCs w:val="22"/>
                <w:lang w:val="pl-PL" w:eastAsia="de-DE"/>
              </w:rPr>
            </w:pPr>
            <w:r w:rsidRPr="00451403">
              <w:rPr>
                <w:rFonts w:ascii="Arial" w:hAnsi="Arial" w:cs="Arial"/>
                <w:sz w:val="22"/>
                <w:szCs w:val="22"/>
                <w:lang w:val="pl-PL" w:eastAsia="de-DE"/>
              </w:rPr>
              <w:t xml:space="preserve">TRILUX: Techniczne i dekoracyjne oprawy wewnętrzne i zewnętrzne do zastosowań profesjonalnych (biuro, przemysł, handel, edukacja, </w:t>
            </w:r>
            <w:proofErr w:type="spellStart"/>
            <w:r w:rsidRPr="00451403">
              <w:rPr>
                <w:rFonts w:ascii="Arial" w:hAnsi="Arial" w:cs="Arial"/>
                <w:sz w:val="22"/>
                <w:szCs w:val="22"/>
                <w:lang w:val="pl-PL" w:eastAsia="de-DE"/>
              </w:rPr>
              <w:t>outdoor</w:t>
            </w:r>
            <w:proofErr w:type="spellEnd"/>
            <w:r w:rsidRPr="00451403">
              <w:rPr>
                <w:rFonts w:ascii="Arial" w:hAnsi="Arial" w:cs="Arial"/>
                <w:sz w:val="22"/>
                <w:szCs w:val="22"/>
                <w:lang w:val="pl-PL" w:eastAsia="de-DE"/>
              </w:rPr>
              <w:t>, zdrowie, architektura)</w:t>
            </w:r>
          </w:p>
          <w:p w14:paraId="2EE3FE7D" w14:textId="77777777" w:rsidR="00451403" w:rsidRPr="00451403" w:rsidRDefault="00451403" w:rsidP="00451403">
            <w:pPr>
              <w:spacing w:line="276" w:lineRule="auto"/>
              <w:rPr>
                <w:rFonts w:ascii="Arial" w:hAnsi="Arial" w:cs="Arial"/>
                <w:sz w:val="22"/>
                <w:szCs w:val="22"/>
                <w:lang w:val="pl-PL" w:eastAsia="de-DE"/>
              </w:rPr>
            </w:pPr>
          </w:p>
          <w:p w14:paraId="6A44BB87" w14:textId="7C266086" w:rsidR="008C16FE" w:rsidRPr="002D6250" w:rsidRDefault="00451403" w:rsidP="00451403">
            <w:pPr>
              <w:spacing w:line="276" w:lineRule="auto"/>
              <w:rPr>
                <w:rFonts w:ascii="Arial" w:hAnsi="Arial" w:cs="Arial"/>
                <w:sz w:val="22"/>
                <w:szCs w:val="22"/>
                <w:lang w:val="pl-PL" w:eastAsia="de-DE"/>
              </w:rPr>
            </w:pPr>
            <w:r>
              <w:rPr>
                <w:rFonts w:ascii="Arial" w:hAnsi="Arial" w:cs="Arial"/>
                <w:sz w:val="22"/>
                <w:szCs w:val="22"/>
                <w:lang w:val="pl-PL" w:eastAsia="de-DE"/>
              </w:rPr>
              <w:t>OKTALITE</w:t>
            </w:r>
            <w:r w:rsidRPr="00451403">
              <w:rPr>
                <w:rFonts w:ascii="Arial" w:hAnsi="Arial" w:cs="Arial"/>
                <w:sz w:val="22"/>
                <w:szCs w:val="22"/>
                <w:lang w:val="pl-PL" w:eastAsia="de-DE"/>
              </w:rPr>
              <w:t>: Promowanie sprzedaży, indywidualne oświetlenie detaliczne</w:t>
            </w:r>
          </w:p>
        </w:tc>
      </w:tr>
      <w:tr w:rsidR="008C16FE" w:rsidRPr="002D6250" w14:paraId="798CF023" w14:textId="77777777" w:rsidTr="445467A2">
        <w:trPr>
          <w:trHeight w:val="309"/>
        </w:trPr>
        <w:tc>
          <w:tcPr>
            <w:tcW w:w="3539" w:type="dxa"/>
          </w:tcPr>
          <w:p w14:paraId="31C217AA" w14:textId="74044244" w:rsidR="00451403" w:rsidRPr="00451403" w:rsidRDefault="00451403" w:rsidP="00451403">
            <w:pPr>
              <w:spacing w:line="276" w:lineRule="auto"/>
              <w:rPr>
                <w:rFonts w:ascii="Arial" w:hAnsi="Arial" w:cs="Arial"/>
                <w:b/>
                <w:bCs/>
                <w:sz w:val="22"/>
                <w:szCs w:val="22"/>
                <w:lang w:val="pl-PL" w:eastAsia="de-DE"/>
              </w:rPr>
            </w:pPr>
            <w:r w:rsidRPr="00451403">
              <w:rPr>
                <w:rFonts w:ascii="Arial" w:hAnsi="Arial" w:cs="Arial"/>
                <w:b/>
                <w:bCs/>
                <w:sz w:val="22"/>
                <w:szCs w:val="22"/>
                <w:lang w:val="pl-PL" w:eastAsia="de-DE"/>
              </w:rPr>
              <w:t>P</w:t>
            </w:r>
            <w:r w:rsidR="00C74FDF">
              <w:rPr>
                <w:rFonts w:ascii="Arial" w:hAnsi="Arial" w:cs="Arial"/>
                <w:b/>
                <w:bCs/>
                <w:sz w:val="22"/>
                <w:szCs w:val="22"/>
                <w:lang w:val="pl-PL" w:eastAsia="de-DE"/>
              </w:rPr>
              <w:t xml:space="preserve">rofil </w:t>
            </w:r>
            <w:r w:rsidRPr="00451403">
              <w:rPr>
                <w:rFonts w:ascii="Arial" w:hAnsi="Arial" w:cs="Arial"/>
                <w:b/>
                <w:bCs/>
                <w:sz w:val="22"/>
                <w:szCs w:val="22"/>
                <w:lang w:val="pl-PL" w:eastAsia="de-DE"/>
              </w:rPr>
              <w:t xml:space="preserve">działalności </w:t>
            </w:r>
          </w:p>
          <w:p w14:paraId="1791A8D4" w14:textId="7E12AD52" w:rsidR="008C16FE" w:rsidRPr="002D6250" w:rsidRDefault="00451403" w:rsidP="00451403">
            <w:pPr>
              <w:spacing w:line="276" w:lineRule="auto"/>
              <w:rPr>
                <w:rFonts w:ascii="Arial" w:hAnsi="Arial" w:cs="Arial"/>
                <w:b/>
                <w:bCs/>
                <w:sz w:val="22"/>
                <w:szCs w:val="22"/>
                <w:lang w:val="pl-PL" w:eastAsia="de-DE"/>
              </w:rPr>
            </w:pPr>
            <w:r w:rsidRPr="00451403">
              <w:rPr>
                <w:rFonts w:ascii="Arial" w:hAnsi="Arial" w:cs="Arial"/>
                <w:b/>
                <w:bCs/>
                <w:sz w:val="22"/>
                <w:szCs w:val="22"/>
                <w:lang w:val="pl-PL" w:eastAsia="de-DE"/>
              </w:rPr>
              <w:t>Systemy OEM</w:t>
            </w:r>
          </w:p>
        </w:tc>
        <w:tc>
          <w:tcPr>
            <w:tcW w:w="5523" w:type="dxa"/>
          </w:tcPr>
          <w:p w14:paraId="4A0694F2" w14:textId="32490AF0" w:rsidR="008C16FE" w:rsidRPr="002D6250" w:rsidRDefault="00C74FDF" w:rsidP="007D1101">
            <w:pPr>
              <w:spacing w:line="276" w:lineRule="auto"/>
              <w:rPr>
                <w:rFonts w:ascii="Arial" w:hAnsi="Arial" w:cs="Arial"/>
                <w:sz w:val="22"/>
                <w:szCs w:val="22"/>
                <w:lang w:val="pl-PL" w:eastAsia="de-DE"/>
              </w:rPr>
            </w:pPr>
            <w:r w:rsidRPr="00C74FDF">
              <w:rPr>
                <w:rFonts w:ascii="Arial" w:hAnsi="Arial" w:cs="Arial"/>
                <w:sz w:val="22"/>
                <w:szCs w:val="22"/>
                <w:lang w:val="pl-PL" w:eastAsia="de-DE"/>
              </w:rPr>
              <w:t xml:space="preserve">ZALUX: </w:t>
            </w:r>
            <w:r>
              <w:rPr>
                <w:rFonts w:ascii="Arial" w:hAnsi="Arial" w:cs="Arial"/>
                <w:sz w:val="22"/>
                <w:szCs w:val="22"/>
                <w:lang w:val="pl-PL" w:eastAsia="de-DE"/>
              </w:rPr>
              <w:t>F</w:t>
            </w:r>
            <w:r w:rsidRPr="00C74FDF">
              <w:rPr>
                <w:rFonts w:ascii="Arial" w:hAnsi="Arial" w:cs="Arial"/>
                <w:sz w:val="22"/>
                <w:szCs w:val="22"/>
                <w:lang w:val="pl-PL" w:eastAsia="de-DE"/>
              </w:rPr>
              <w:t>unkcjonalne oprawy odporne na wilgoć</w:t>
            </w:r>
          </w:p>
        </w:tc>
      </w:tr>
      <w:tr w:rsidR="008C16FE" w:rsidRPr="002D6250" w14:paraId="5DA1530A" w14:textId="77777777" w:rsidTr="445467A2">
        <w:trPr>
          <w:trHeight w:val="309"/>
        </w:trPr>
        <w:tc>
          <w:tcPr>
            <w:tcW w:w="3539" w:type="dxa"/>
          </w:tcPr>
          <w:p w14:paraId="2EE561F5" w14:textId="7AECB379" w:rsidR="008C16FE" w:rsidRPr="002D6250" w:rsidRDefault="00C74FDF" w:rsidP="008C16FE">
            <w:pPr>
              <w:spacing w:line="276" w:lineRule="auto"/>
              <w:rPr>
                <w:rFonts w:ascii="Arial" w:hAnsi="Arial" w:cs="Arial"/>
                <w:b/>
                <w:sz w:val="22"/>
                <w:szCs w:val="22"/>
                <w:lang w:val="pl-PL" w:eastAsia="de-DE"/>
              </w:rPr>
            </w:pPr>
            <w:r>
              <w:rPr>
                <w:rFonts w:ascii="Arial" w:hAnsi="Arial" w:cs="Arial"/>
                <w:b/>
                <w:sz w:val="22"/>
                <w:szCs w:val="22"/>
                <w:lang w:val="pl-PL" w:eastAsia="de-DE"/>
              </w:rPr>
              <w:t>Akademia TRILUX</w:t>
            </w:r>
          </w:p>
        </w:tc>
        <w:tc>
          <w:tcPr>
            <w:tcW w:w="5523" w:type="dxa"/>
          </w:tcPr>
          <w:p w14:paraId="30EBB591" w14:textId="46DFB065" w:rsidR="00471510" w:rsidRPr="002D6250" w:rsidRDefault="00C74FDF" w:rsidP="007D1101">
            <w:pPr>
              <w:spacing w:line="276" w:lineRule="auto"/>
              <w:rPr>
                <w:rFonts w:ascii="Arial" w:hAnsi="Arial" w:cs="Arial"/>
                <w:sz w:val="22"/>
                <w:szCs w:val="22"/>
                <w:lang w:val="pl-PL" w:eastAsia="de-DE"/>
              </w:rPr>
            </w:pPr>
            <w:r w:rsidRPr="00C74FDF">
              <w:rPr>
                <w:rFonts w:ascii="Arial" w:hAnsi="Arial" w:cs="Arial"/>
                <w:sz w:val="22"/>
                <w:szCs w:val="22"/>
                <w:lang w:val="pl-PL" w:eastAsia="de-DE"/>
              </w:rPr>
              <w:t>Akademia TRILUX jest partnerem w zakresie doskonalenia zawodowego dla wszystkich osób zawodowo związanych z oświetleniem. Lokalizacje: Niemcy (</w:t>
            </w:r>
            <w:proofErr w:type="spellStart"/>
            <w:r w:rsidRPr="00C74FDF">
              <w:rPr>
                <w:rFonts w:ascii="Arial" w:hAnsi="Arial" w:cs="Arial"/>
                <w:sz w:val="22"/>
                <w:szCs w:val="22"/>
                <w:lang w:val="pl-PL" w:eastAsia="de-DE"/>
              </w:rPr>
              <w:t>Arnsberg</w:t>
            </w:r>
            <w:proofErr w:type="spellEnd"/>
            <w:r w:rsidRPr="00C74FDF">
              <w:rPr>
                <w:rFonts w:ascii="Arial" w:hAnsi="Arial" w:cs="Arial"/>
                <w:sz w:val="22"/>
                <w:szCs w:val="22"/>
                <w:lang w:val="pl-PL" w:eastAsia="de-DE"/>
              </w:rPr>
              <w:t xml:space="preserve"> i Kolonia), Wielka Brytania, Holandia, Belgia, Austria, Francja, Szwajcaria, Zjednoczone Emiraty Arabskie, Hiszpania (</w:t>
            </w:r>
            <w:proofErr w:type="spellStart"/>
            <w:r w:rsidRPr="00C74FDF">
              <w:rPr>
                <w:rFonts w:ascii="Arial" w:hAnsi="Arial" w:cs="Arial"/>
                <w:sz w:val="22"/>
                <w:szCs w:val="22"/>
                <w:lang w:val="pl-PL" w:eastAsia="de-DE"/>
              </w:rPr>
              <w:t>digital</w:t>
            </w:r>
            <w:proofErr w:type="spellEnd"/>
            <w:r w:rsidRPr="00C74FDF">
              <w:rPr>
                <w:rFonts w:ascii="Arial" w:hAnsi="Arial" w:cs="Arial"/>
                <w:sz w:val="22"/>
                <w:szCs w:val="22"/>
                <w:lang w:val="pl-PL" w:eastAsia="de-DE"/>
              </w:rPr>
              <w:t>) i Polska (</w:t>
            </w:r>
            <w:proofErr w:type="spellStart"/>
            <w:r w:rsidRPr="00C74FDF">
              <w:rPr>
                <w:rFonts w:ascii="Arial" w:hAnsi="Arial" w:cs="Arial"/>
                <w:sz w:val="22"/>
                <w:szCs w:val="22"/>
                <w:lang w:val="pl-PL" w:eastAsia="de-DE"/>
              </w:rPr>
              <w:t>digital</w:t>
            </w:r>
            <w:proofErr w:type="spellEnd"/>
            <w:r w:rsidRPr="00C74FDF">
              <w:rPr>
                <w:rFonts w:ascii="Arial" w:hAnsi="Arial" w:cs="Arial"/>
                <w:sz w:val="22"/>
                <w:szCs w:val="22"/>
                <w:lang w:val="pl-PL" w:eastAsia="de-DE"/>
              </w:rPr>
              <w:t>).</w:t>
            </w:r>
          </w:p>
        </w:tc>
      </w:tr>
      <w:tr w:rsidR="008C16FE" w:rsidRPr="002D6250" w14:paraId="1458AF34" w14:textId="77777777" w:rsidTr="445467A2">
        <w:trPr>
          <w:trHeight w:val="309"/>
        </w:trPr>
        <w:tc>
          <w:tcPr>
            <w:tcW w:w="3539" w:type="dxa"/>
          </w:tcPr>
          <w:p w14:paraId="10FB9EE5" w14:textId="16F71A5E" w:rsidR="008C16FE" w:rsidRPr="002D6250" w:rsidRDefault="00C74FDF" w:rsidP="008C16FE">
            <w:pPr>
              <w:spacing w:line="276" w:lineRule="auto"/>
              <w:rPr>
                <w:rFonts w:ascii="Arial" w:hAnsi="Arial" w:cs="Arial"/>
                <w:b/>
                <w:sz w:val="22"/>
                <w:szCs w:val="22"/>
                <w:lang w:val="pl-PL" w:eastAsia="de-DE"/>
              </w:rPr>
            </w:pPr>
            <w:r w:rsidRPr="00C74FDF">
              <w:rPr>
                <w:rFonts w:ascii="Arial" w:hAnsi="Arial" w:cs="Arial"/>
                <w:b/>
                <w:sz w:val="22"/>
                <w:szCs w:val="22"/>
                <w:lang w:val="pl-PL" w:eastAsia="de-DE"/>
              </w:rPr>
              <w:t>Spółki zależne i udziały</w:t>
            </w:r>
          </w:p>
        </w:tc>
        <w:tc>
          <w:tcPr>
            <w:tcW w:w="5523" w:type="dxa"/>
          </w:tcPr>
          <w:p w14:paraId="641BC332" w14:textId="77777777" w:rsidR="00C74FDF" w:rsidRPr="00C74FDF" w:rsidRDefault="00C74FDF" w:rsidP="00C74FDF">
            <w:pPr>
              <w:spacing w:line="276" w:lineRule="auto"/>
              <w:rPr>
                <w:rFonts w:ascii="Arial" w:hAnsi="Arial" w:cs="Arial"/>
                <w:sz w:val="22"/>
                <w:szCs w:val="22"/>
                <w:lang w:val="pl-PL" w:eastAsia="de-DE"/>
              </w:rPr>
            </w:pPr>
            <w:r w:rsidRPr="00C74FDF">
              <w:rPr>
                <w:rFonts w:ascii="Arial" w:hAnsi="Arial" w:cs="Arial"/>
                <w:sz w:val="22"/>
                <w:szCs w:val="22"/>
                <w:lang w:val="pl-PL" w:eastAsia="de-DE"/>
              </w:rPr>
              <w:t xml:space="preserve">30 spółek zależnych (w tym dwanaście prawnie niezależnych spółek zależnych we Francji, Hiszpanii, Wielkiej Brytanii, Holandii, Belgii, Szwajcarii, Austrii, Włoszech, Polsce, Słowacji, Czechach, Węgrzech, Dubaju) oraz licznych partnerów handlowych na arenie międzynarodowej. </w:t>
            </w:r>
          </w:p>
          <w:p w14:paraId="181C4A21" w14:textId="77777777" w:rsidR="00C74FDF" w:rsidRPr="00C74FDF" w:rsidRDefault="00C74FDF" w:rsidP="00C74FDF">
            <w:pPr>
              <w:spacing w:line="276" w:lineRule="auto"/>
              <w:rPr>
                <w:rFonts w:ascii="Arial" w:hAnsi="Arial" w:cs="Arial"/>
                <w:sz w:val="22"/>
                <w:szCs w:val="22"/>
                <w:lang w:val="pl-PL" w:eastAsia="de-DE"/>
              </w:rPr>
            </w:pPr>
          </w:p>
          <w:p w14:paraId="10549C39" w14:textId="77777777" w:rsidR="00C74FDF" w:rsidRPr="00C74FDF" w:rsidRDefault="00C74FDF" w:rsidP="00C74FDF">
            <w:pPr>
              <w:spacing w:line="276" w:lineRule="auto"/>
              <w:rPr>
                <w:rFonts w:ascii="Arial" w:hAnsi="Arial" w:cs="Arial"/>
                <w:sz w:val="22"/>
                <w:szCs w:val="22"/>
                <w:lang w:val="pl-PL" w:eastAsia="de-DE"/>
              </w:rPr>
            </w:pPr>
            <w:r w:rsidRPr="00C74FDF">
              <w:rPr>
                <w:rFonts w:ascii="Arial" w:hAnsi="Arial" w:cs="Arial"/>
                <w:sz w:val="22"/>
                <w:szCs w:val="22"/>
                <w:lang w:val="pl-PL" w:eastAsia="de-DE"/>
              </w:rPr>
              <w:t xml:space="preserve">Inne spółki powiązane: </w:t>
            </w:r>
          </w:p>
          <w:p w14:paraId="18F9EE15" w14:textId="77777777" w:rsidR="00C74FDF" w:rsidRPr="00C74FDF" w:rsidRDefault="00C74FDF" w:rsidP="00C74FDF">
            <w:pPr>
              <w:spacing w:line="276" w:lineRule="auto"/>
              <w:rPr>
                <w:rFonts w:ascii="Arial" w:hAnsi="Arial" w:cs="Arial"/>
                <w:sz w:val="22"/>
                <w:szCs w:val="22"/>
                <w:lang w:val="pl-PL" w:eastAsia="de-DE"/>
              </w:rPr>
            </w:pPr>
          </w:p>
          <w:p w14:paraId="472F5805" w14:textId="77777777" w:rsidR="00C74FDF" w:rsidRPr="00C74FDF" w:rsidRDefault="00C74FDF" w:rsidP="00C74FDF">
            <w:pPr>
              <w:spacing w:line="276" w:lineRule="auto"/>
              <w:rPr>
                <w:rFonts w:ascii="Arial" w:hAnsi="Arial" w:cs="Arial"/>
                <w:sz w:val="22"/>
                <w:szCs w:val="22"/>
                <w:lang w:val="pl-PL" w:eastAsia="de-DE"/>
              </w:rPr>
            </w:pPr>
            <w:r w:rsidRPr="00C74FDF">
              <w:rPr>
                <w:rFonts w:ascii="Arial" w:hAnsi="Arial" w:cs="Arial"/>
                <w:b/>
                <w:bCs/>
                <w:sz w:val="22"/>
                <w:szCs w:val="22"/>
                <w:lang w:val="pl-PL" w:eastAsia="de-DE"/>
              </w:rPr>
              <w:t>ICT</w:t>
            </w:r>
            <w:r w:rsidRPr="00C74FDF">
              <w:rPr>
                <w:rFonts w:ascii="Arial" w:hAnsi="Arial" w:cs="Arial"/>
                <w:sz w:val="22"/>
                <w:szCs w:val="22"/>
                <w:lang w:val="pl-PL" w:eastAsia="de-DE"/>
              </w:rPr>
              <w:t xml:space="preserve">: Elementy elektroniczne dla przemysłu oświetleniowego, telekomunikacji, gospodarstwa domowego i elektroniki użytkowej. </w:t>
            </w:r>
          </w:p>
          <w:p w14:paraId="7E50A116" w14:textId="77777777" w:rsidR="00C74FDF" w:rsidRPr="00C74FDF" w:rsidRDefault="00C74FDF" w:rsidP="00C74FDF">
            <w:pPr>
              <w:spacing w:line="276" w:lineRule="auto"/>
              <w:rPr>
                <w:rFonts w:ascii="Arial" w:hAnsi="Arial" w:cs="Arial"/>
                <w:sz w:val="22"/>
                <w:szCs w:val="22"/>
                <w:lang w:val="pl-PL" w:eastAsia="de-DE"/>
              </w:rPr>
            </w:pPr>
          </w:p>
          <w:p w14:paraId="7640D10F" w14:textId="77777777" w:rsidR="00C74FDF" w:rsidRPr="00C74FDF" w:rsidRDefault="00C74FDF" w:rsidP="00C74FDF">
            <w:pPr>
              <w:spacing w:line="276" w:lineRule="auto"/>
              <w:rPr>
                <w:rFonts w:ascii="Arial" w:hAnsi="Arial" w:cs="Arial"/>
                <w:sz w:val="22"/>
                <w:szCs w:val="22"/>
                <w:lang w:val="pl-PL" w:eastAsia="de-DE"/>
              </w:rPr>
            </w:pPr>
            <w:r w:rsidRPr="00C74FDF">
              <w:rPr>
                <w:rFonts w:ascii="Arial" w:hAnsi="Arial" w:cs="Arial"/>
                <w:b/>
                <w:bCs/>
                <w:sz w:val="22"/>
                <w:szCs w:val="22"/>
                <w:lang w:val="pl-PL" w:eastAsia="de-DE"/>
              </w:rPr>
              <w:t>Platforma internetowa watt24</w:t>
            </w:r>
            <w:r w:rsidRPr="00C74FDF">
              <w:rPr>
                <w:rFonts w:ascii="Arial" w:hAnsi="Arial" w:cs="Arial"/>
                <w:sz w:val="22"/>
                <w:szCs w:val="22"/>
                <w:lang w:val="pl-PL" w:eastAsia="de-DE"/>
              </w:rPr>
              <w:t xml:space="preserve">: sklep internetowy z elementami elektronicznymi i oprawami oświetleniowymi </w:t>
            </w:r>
          </w:p>
          <w:p w14:paraId="2FA12742" w14:textId="77777777" w:rsidR="00C74FDF" w:rsidRPr="00C74FDF" w:rsidRDefault="00C74FDF" w:rsidP="00C74FDF">
            <w:pPr>
              <w:spacing w:line="276" w:lineRule="auto"/>
              <w:rPr>
                <w:rFonts w:ascii="Arial" w:hAnsi="Arial" w:cs="Arial"/>
                <w:sz w:val="22"/>
                <w:szCs w:val="22"/>
                <w:lang w:val="pl-PL" w:eastAsia="de-DE"/>
              </w:rPr>
            </w:pPr>
          </w:p>
          <w:p w14:paraId="546BDDBA" w14:textId="77777777" w:rsidR="00C74FDF" w:rsidRPr="00C74FDF" w:rsidRDefault="00C74FDF" w:rsidP="00C74FDF">
            <w:pPr>
              <w:spacing w:line="276" w:lineRule="auto"/>
              <w:rPr>
                <w:rFonts w:ascii="Arial" w:hAnsi="Arial" w:cs="Arial"/>
                <w:sz w:val="22"/>
                <w:szCs w:val="22"/>
                <w:lang w:val="pl-PL" w:eastAsia="de-DE"/>
              </w:rPr>
            </w:pPr>
            <w:proofErr w:type="spellStart"/>
            <w:r w:rsidRPr="00C74FDF">
              <w:rPr>
                <w:rFonts w:ascii="Arial" w:hAnsi="Arial" w:cs="Arial"/>
                <w:b/>
                <w:bCs/>
                <w:sz w:val="22"/>
                <w:szCs w:val="22"/>
                <w:lang w:val="pl-PL" w:eastAsia="de-DE"/>
              </w:rPr>
              <w:t>Crosscan</w:t>
            </w:r>
            <w:proofErr w:type="spellEnd"/>
            <w:r w:rsidRPr="00C74FDF">
              <w:rPr>
                <w:rFonts w:ascii="Arial" w:hAnsi="Arial" w:cs="Arial"/>
                <w:sz w:val="22"/>
                <w:szCs w:val="22"/>
                <w:lang w:val="pl-PL" w:eastAsia="de-DE"/>
              </w:rPr>
              <w:t>: jeden z największych dostawców systemów do pomiaru częstotliwości odwiedzin i analizy danych w sektorze handlu detalicznego</w:t>
            </w:r>
          </w:p>
          <w:p w14:paraId="4925FEBD" w14:textId="77777777" w:rsidR="00C74FDF" w:rsidRPr="00C74FDF" w:rsidRDefault="00C74FDF" w:rsidP="00C74FDF">
            <w:pPr>
              <w:spacing w:line="276" w:lineRule="auto"/>
              <w:rPr>
                <w:rFonts w:ascii="Arial" w:hAnsi="Arial" w:cs="Arial"/>
                <w:sz w:val="22"/>
                <w:szCs w:val="22"/>
                <w:lang w:val="pl-PL" w:eastAsia="de-DE"/>
              </w:rPr>
            </w:pPr>
          </w:p>
          <w:p w14:paraId="51AA6E27" w14:textId="77777777" w:rsidR="00C74FDF" w:rsidRPr="00C74FDF" w:rsidRDefault="00C74FDF" w:rsidP="00C74FDF">
            <w:pPr>
              <w:spacing w:line="276" w:lineRule="auto"/>
              <w:rPr>
                <w:rFonts w:ascii="Arial" w:hAnsi="Arial" w:cs="Arial"/>
                <w:sz w:val="22"/>
                <w:szCs w:val="22"/>
                <w:lang w:val="pl-PL" w:eastAsia="de-DE"/>
              </w:rPr>
            </w:pPr>
            <w:r w:rsidRPr="00C74FDF">
              <w:rPr>
                <w:rFonts w:ascii="Arial" w:hAnsi="Arial" w:cs="Arial"/>
                <w:b/>
                <w:bCs/>
                <w:sz w:val="22"/>
                <w:szCs w:val="22"/>
                <w:lang w:val="pl-PL" w:eastAsia="de-DE"/>
              </w:rPr>
              <w:lastRenderedPageBreak/>
              <w:t>LED Luks</w:t>
            </w:r>
            <w:r w:rsidRPr="00C74FDF">
              <w:rPr>
                <w:rFonts w:ascii="Arial" w:hAnsi="Arial" w:cs="Arial"/>
                <w:sz w:val="22"/>
                <w:szCs w:val="22"/>
                <w:lang w:val="pl-PL" w:eastAsia="de-DE"/>
              </w:rPr>
              <w:t>: producent opraw oświetleniowych i specjalista w zakresie indywidualnych rozwiązań projektowych</w:t>
            </w:r>
          </w:p>
          <w:p w14:paraId="1250B1AD" w14:textId="77777777" w:rsidR="00C74FDF" w:rsidRPr="00C74FDF" w:rsidRDefault="00C74FDF" w:rsidP="00C74FDF">
            <w:pPr>
              <w:spacing w:line="276" w:lineRule="auto"/>
              <w:rPr>
                <w:rFonts w:ascii="Arial" w:hAnsi="Arial" w:cs="Arial"/>
                <w:sz w:val="22"/>
                <w:szCs w:val="22"/>
                <w:lang w:val="pl-PL" w:eastAsia="de-DE"/>
              </w:rPr>
            </w:pPr>
          </w:p>
          <w:p w14:paraId="3CBCF5B7" w14:textId="77777777" w:rsidR="00C74FDF" w:rsidRPr="00C74FDF" w:rsidRDefault="00C74FDF" w:rsidP="00C74FDF">
            <w:pPr>
              <w:spacing w:line="276" w:lineRule="auto"/>
              <w:rPr>
                <w:rFonts w:ascii="Arial" w:hAnsi="Arial" w:cs="Arial"/>
                <w:sz w:val="22"/>
                <w:szCs w:val="22"/>
                <w:lang w:val="pl-PL" w:eastAsia="de-DE"/>
              </w:rPr>
            </w:pPr>
            <w:proofErr w:type="spellStart"/>
            <w:r w:rsidRPr="00C74FDF">
              <w:rPr>
                <w:rFonts w:ascii="Arial" w:hAnsi="Arial" w:cs="Arial"/>
                <w:b/>
                <w:bCs/>
                <w:sz w:val="22"/>
                <w:szCs w:val="22"/>
                <w:lang w:val="pl-PL" w:eastAsia="de-DE"/>
              </w:rPr>
              <w:t>Monolicht</w:t>
            </w:r>
            <w:proofErr w:type="spellEnd"/>
            <w:r w:rsidRPr="00C74FDF">
              <w:rPr>
                <w:rFonts w:ascii="Arial" w:hAnsi="Arial" w:cs="Arial"/>
                <w:sz w:val="22"/>
                <w:szCs w:val="22"/>
                <w:lang w:val="pl-PL" w:eastAsia="de-DE"/>
              </w:rPr>
              <w:t xml:space="preserve">: producent opraw oświetleniowych specjalizujący się w wysokiej jakości rozwiązaniach niestandardowych i oświetleniu architektonicznym </w:t>
            </w:r>
          </w:p>
          <w:p w14:paraId="382B4C57" w14:textId="77777777" w:rsidR="00C74FDF" w:rsidRPr="00C74FDF" w:rsidRDefault="00C74FDF" w:rsidP="00C74FDF">
            <w:pPr>
              <w:spacing w:line="276" w:lineRule="auto"/>
              <w:rPr>
                <w:rFonts w:ascii="Arial" w:hAnsi="Arial" w:cs="Arial"/>
                <w:sz w:val="22"/>
                <w:szCs w:val="22"/>
                <w:lang w:val="pl-PL" w:eastAsia="de-DE"/>
              </w:rPr>
            </w:pPr>
          </w:p>
          <w:p w14:paraId="491060A6" w14:textId="701C7DCB" w:rsidR="00A65BA7" w:rsidRPr="002D6250" w:rsidRDefault="00C74FDF" w:rsidP="00C74FDF">
            <w:pPr>
              <w:spacing w:line="276" w:lineRule="auto"/>
              <w:rPr>
                <w:rFonts w:ascii="Arial" w:hAnsi="Arial" w:cs="Arial"/>
                <w:sz w:val="22"/>
                <w:szCs w:val="22"/>
                <w:lang w:val="pl-PL" w:eastAsia="de-DE"/>
              </w:rPr>
            </w:pPr>
            <w:proofErr w:type="spellStart"/>
            <w:r w:rsidRPr="00C74FDF">
              <w:rPr>
                <w:rFonts w:ascii="Arial" w:hAnsi="Arial" w:cs="Arial"/>
                <w:b/>
                <w:bCs/>
                <w:sz w:val="22"/>
                <w:szCs w:val="22"/>
                <w:lang w:val="pl-PL" w:eastAsia="de-DE"/>
              </w:rPr>
              <w:t>wtec</w:t>
            </w:r>
            <w:proofErr w:type="spellEnd"/>
            <w:r w:rsidRPr="00C74FDF">
              <w:rPr>
                <w:rFonts w:ascii="Arial" w:hAnsi="Arial" w:cs="Arial"/>
                <w:sz w:val="22"/>
                <w:szCs w:val="22"/>
                <w:lang w:val="pl-PL" w:eastAsia="de-DE"/>
              </w:rPr>
              <w:t>: specjaliści w dziedzinie technologii infrastruktury inteligentnych budynków</w:t>
            </w:r>
          </w:p>
        </w:tc>
      </w:tr>
      <w:tr w:rsidR="00A06ACA" w:rsidRPr="002D6250" w14:paraId="39342021" w14:textId="77777777" w:rsidTr="445467A2">
        <w:trPr>
          <w:trHeight w:val="309"/>
        </w:trPr>
        <w:tc>
          <w:tcPr>
            <w:tcW w:w="3539" w:type="dxa"/>
          </w:tcPr>
          <w:p w14:paraId="276A4317" w14:textId="02169C4F" w:rsidR="00A06ACA" w:rsidRPr="002D6250" w:rsidRDefault="00CE1417" w:rsidP="008C16FE">
            <w:pPr>
              <w:spacing w:line="276" w:lineRule="auto"/>
              <w:rPr>
                <w:rFonts w:ascii="Arial" w:hAnsi="Arial" w:cs="Arial"/>
                <w:b/>
                <w:sz w:val="22"/>
                <w:szCs w:val="22"/>
                <w:lang w:val="pl-PL" w:eastAsia="de-DE"/>
              </w:rPr>
            </w:pPr>
            <w:r w:rsidRPr="00CE1417">
              <w:rPr>
                <w:rFonts w:ascii="Arial" w:hAnsi="Arial" w:cs="Arial"/>
                <w:b/>
                <w:sz w:val="22"/>
                <w:szCs w:val="22"/>
                <w:lang w:val="pl-PL" w:eastAsia="de-DE"/>
              </w:rPr>
              <w:lastRenderedPageBreak/>
              <w:t>Kooperacja</w:t>
            </w:r>
          </w:p>
        </w:tc>
        <w:tc>
          <w:tcPr>
            <w:tcW w:w="5523" w:type="dxa"/>
          </w:tcPr>
          <w:p w14:paraId="102F2A79" w14:textId="77777777" w:rsidR="00CE1417" w:rsidRPr="00B37395" w:rsidRDefault="00CE1417" w:rsidP="00CE1417">
            <w:pPr>
              <w:spacing w:line="276" w:lineRule="auto"/>
              <w:rPr>
                <w:rFonts w:ascii="Arial" w:hAnsi="Arial" w:cs="Arial"/>
                <w:sz w:val="22"/>
                <w:szCs w:val="22"/>
                <w:lang w:val="pl-PL" w:eastAsia="de-DE"/>
              </w:rPr>
            </w:pPr>
            <w:proofErr w:type="spellStart"/>
            <w:r w:rsidRPr="00B37395">
              <w:rPr>
                <w:rFonts w:ascii="Arial" w:hAnsi="Arial" w:cs="Arial"/>
                <w:b/>
                <w:bCs/>
                <w:sz w:val="22"/>
                <w:szCs w:val="22"/>
                <w:lang w:val="pl-PL" w:eastAsia="de-DE"/>
              </w:rPr>
              <w:t>Brumberg</w:t>
            </w:r>
            <w:proofErr w:type="spellEnd"/>
            <w:r w:rsidRPr="00B37395">
              <w:rPr>
                <w:rFonts w:ascii="Arial" w:hAnsi="Arial" w:cs="Arial"/>
                <w:b/>
                <w:bCs/>
                <w:sz w:val="22"/>
                <w:szCs w:val="22"/>
                <w:lang w:val="pl-PL" w:eastAsia="de-DE"/>
              </w:rPr>
              <w:t xml:space="preserve"> </w:t>
            </w:r>
            <w:proofErr w:type="spellStart"/>
            <w:r w:rsidRPr="00B37395">
              <w:rPr>
                <w:rFonts w:ascii="Arial" w:hAnsi="Arial" w:cs="Arial"/>
                <w:b/>
                <w:bCs/>
                <w:sz w:val="22"/>
                <w:szCs w:val="22"/>
                <w:lang w:val="pl-PL" w:eastAsia="de-DE"/>
              </w:rPr>
              <w:t>Leuchten</w:t>
            </w:r>
            <w:proofErr w:type="spellEnd"/>
            <w:r w:rsidRPr="00B37395">
              <w:rPr>
                <w:rFonts w:ascii="Arial" w:hAnsi="Arial" w:cs="Arial"/>
                <w:sz w:val="22"/>
                <w:szCs w:val="22"/>
                <w:lang w:val="pl-PL" w:eastAsia="de-DE"/>
              </w:rPr>
              <w:t xml:space="preserve">: Od października 2018 roku eksperci oświetleniowi TRILUX i BRUMBERG koordynują część swoich działań sprzedażowych z inicjatywą "Z ogrodu sąsiadów". </w:t>
            </w:r>
          </w:p>
          <w:p w14:paraId="7C7D2E5C" w14:textId="77777777" w:rsidR="00CE1417" w:rsidRPr="00B37395" w:rsidRDefault="00CE1417" w:rsidP="00CE1417">
            <w:pPr>
              <w:spacing w:line="276" w:lineRule="auto"/>
              <w:rPr>
                <w:rFonts w:ascii="Arial" w:hAnsi="Arial" w:cs="Arial"/>
                <w:sz w:val="22"/>
                <w:szCs w:val="22"/>
                <w:lang w:val="pl-PL" w:eastAsia="de-DE"/>
              </w:rPr>
            </w:pPr>
          </w:p>
          <w:p w14:paraId="6968676C" w14:textId="77777777" w:rsidR="00CE1417" w:rsidRPr="00B37395" w:rsidRDefault="00CE1417" w:rsidP="00CE1417">
            <w:pPr>
              <w:spacing w:line="276" w:lineRule="auto"/>
              <w:rPr>
                <w:rFonts w:ascii="Arial" w:hAnsi="Arial" w:cs="Arial"/>
                <w:sz w:val="22"/>
                <w:szCs w:val="22"/>
                <w:lang w:val="pl-PL" w:eastAsia="de-DE"/>
              </w:rPr>
            </w:pPr>
            <w:proofErr w:type="spellStart"/>
            <w:r w:rsidRPr="00B37395">
              <w:rPr>
                <w:rFonts w:ascii="Arial" w:hAnsi="Arial" w:cs="Arial"/>
                <w:b/>
                <w:bCs/>
                <w:sz w:val="22"/>
                <w:szCs w:val="22"/>
                <w:lang w:val="pl-PL" w:eastAsia="de-DE"/>
              </w:rPr>
              <w:t>Warema</w:t>
            </w:r>
            <w:proofErr w:type="spellEnd"/>
            <w:r w:rsidRPr="00B37395">
              <w:rPr>
                <w:rFonts w:ascii="Arial" w:hAnsi="Arial" w:cs="Arial"/>
                <w:b/>
                <w:bCs/>
                <w:sz w:val="22"/>
                <w:szCs w:val="22"/>
                <w:lang w:val="pl-PL" w:eastAsia="de-DE"/>
              </w:rPr>
              <w:t>:</w:t>
            </w:r>
            <w:r w:rsidRPr="00B37395">
              <w:rPr>
                <w:rFonts w:ascii="Arial" w:hAnsi="Arial" w:cs="Arial"/>
                <w:sz w:val="22"/>
                <w:szCs w:val="22"/>
                <w:lang w:val="pl-PL" w:eastAsia="de-DE"/>
              </w:rPr>
              <w:t xml:space="preserve"> Od kwietnia 2020 roku TRILUX i wiodący europejski producent technicznych produktów do ochrony przeciwsłonecznej oferują rozwiązanie sterujące </w:t>
            </w:r>
            <w:proofErr w:type="spellStart"/>
            <w:r w:rsidRPr="00B37395">
              <w:rPr>
                <w:rFonts w:ascii="Arial" w:hAnsi="Arial" w:cs="Arial"/>
                <w:sz w:val="22"/>
                <w:szCs w:val="22"/>
                <w:lang w:val="pl-PL" w:eastAsia="de-DE"/>
              </w:rPr>
              <w:t>Wellumic</w:t>
            </w:r>
            <w:proofErr w:type="spellEnd"/>
            <w:r w:rsidRPr="00B37395">
              <w:rPr>
                <w:rFonts w:ascii="Arial" w:hAnsi="Arial" w:cs="Arial"/>
                <w:sz w:val="22"/>
                <w:szCs w:val="22"/>
                <w:lang w:val="pl-PL" w:eastAsia="de-DE"/>
              </w:rPr>
              <w:t>, które tworzy optymalne warunki oświetleniowe poprzez współdziałanie oświetlenia i ochrony przeciwsłonecznej.</w:t>
            </w:r>
          </w:p>
          <w:p w14:paraId="65547891" w14:textId="77777777" w:rsidR="00CE1417" w:rsidRPr="00B37395" w:rsidRDefault="00CE1417" w:rsidP="00CE1417">
            <w:pPr>
              <w:spacing w:line="276" w:lineRule="auto"/>
              <w:rPr>
                <w:rFonts w:ascii="Arial" w:hAnsi="Arial" w:cs="Arial"/>
                <w:sz w:val="22"/>
                <w:szCs w:val="22"/>
                <w:lang w:val="pl-PL" w:eastAsia="de-DE"/>
              </w:rPr>
            </w:pPr>
          </w:p>
          <w:p w14:paraId="74A246D0" w14:textId="77777777" w:rsidR="00CE1417" w:rsidRPr="00B37395" w:rsidRDefault="00CE1417" w:rsidP="00CE1417">
            <w:pPr>
              <w:spacing w:line="276" w:lineRule="auto"/>
              <w:rPr>
                <w:rFonts w:ascii="Arial" w:hAnsi="Arial" w:cs="Arial"/>
                <w:sz w:val="22"/>
                <w:szCs w:val="22"/>
                <w:lang w:val="pl-PL" w:eastAsia="de-DE"/>
              </w:rPr>
            </w:pPr>
            <w:r w:rsidRPr="00B37395">
              <w:rPr>
                <w:rFonts w:ascii="Arial" w:hAnsi="Arial" w:cs="Arial"/>
                <w:b/>
                <w:bCs/>
                <w:sz w:val="22"/>
                <w:szCs w:val="22"/>
                <w:lang w:val="pl-PL" w:eastAsia="de-DE"/>
              </w:rPr>
              <w:t xml:space="preserve">Carl </w:t>
            </w:r>
            <w:proofErr w:type="spellStart"/>
            <w:r w:rsidRPr="00B37395">
              <w:rPr>
                <w:rFonts w:ascii="Arial" w:hAnsi="Arial" w:cs="Arial"/>
                <w:b/>
                <w:bCs/>
                <w:sz w:val="22"/>
                <w:szCs w:val="22"/>
                <w:lang w:val="pl-PL" w:eastAsia="de-DE"/>
              </w:rPr>
              <w:t>Stahl</w:t>
            </w:r>
            <w:proofErr w:type="spellEnd"/>
            <w:r w:rsidRPr="00B37395">
              <w:rPr>
                <w:rFonts w:ascii="Arial" w:hAnsi="Arial" w:cs="Arial"/>
                <w:sz w:val="22"/>
                <w:szCs w:val="22"/>
                <w:lang w:val="pl-PL" w:eastAsia="de-DE"/>
              </w:rPr>
              <w:t xml:space="preserve">: Dzięki współpracy handlowej firma TRILUX od kwietnia 2021 roku oferuje dostęp do indywidualnych rozwiązań LED sterowanych przez DMX (dekoracyjne, inteligentne rozwiązania fasadowe i barwne sufity świetlne). </w:t>
            </w:r>
          </w:p>
          <w:p w14:paraId="1083883C" w14:textId="77777777" w:rsidR="00CE1417" w:rsidRPr="00B37395" w:rsidRDefault="00CE1417" w:rsidP="00CE1417">
            <w:pPr>
              <w:spacing w:line="276" w:lineRule="auto"/>
              <w:rPr>
                <w:rFonts w:ascii="Arial" w:hAnsi="Arial" w:cs="Arial"/>
                <w:sz w:val="22"/>
                <w:szCs w:val="22"/>
                <w:lang w:val="pl-PL" w:eastAsia="de-DE"/>
              </w:rPr>
            </w:pPr>
          </w:p>
          <w:p w14:paraId="329C8201" w14:textId="210E2437" w:rsidR="00A06ACA" w:rsidRPr="002D6250" w:rsidRDefault="00CE1417" w:rsidP="00CE1417">
            <w:pPr>
              <w:spacing w:line="276" w:lineRule="auto"/>
              <w:rPr>
                <w:rFonts w:ascii="Arial" w:hAnsi="Arial" w:cs="Arial"/>
                <w:sz w:val="22"/>
                <w:szCs w:val="22"/>
                <w:lang w:val="pl-PL" w:eastAsia="de-DE"/>
              </w:rPr>
            </w:pPr>
            <w:r w:rsidRPr="00B37395">
              <w:rPr>
                <w:rFonts w:ascii="Arial" w:hAnsi="Arial" w:cs="Arial"/>
                <w:b/>
                <w:bCs/>
                <w:sz w:val="22"/>
                <w:szCs w:val="22"/>
                <w:lang w:val="pl-PL" w:eastAsia="de-DE"/>
              </w:rPr>
              <w:t>Johnson Controls</w:t>
            </w:r>
            <w:r w:rsidRPr="00B37395">
              <w:rPr>
                <w:rFonts w:ascii="Arial" w:hAnsi="Arial" w:cs="Arial"/>
                <w:sz w:val="22"/>
                <w:szCs w:val="22"/>
                <w:lang w:val="pl-PL" w:eastAsia="de-DE"/>
              </w:rPr>
              <w:t>: TRILUX nawiązał we wrześniu 2021 roku wyłączną współpracę z Johnson Controls w zakresie IoT i automatyki budynków.</w:t>
            </w:r>
            <w:r w:rsidRPr="00CE1417">
              <w:rPr>
                <w:rFonts w:ascii="Arial" w:hAnsi="Arial" w:cs="Arial"/>
                <w:b/>
                <w:bCs/>
                <w:sz w:val="22"/>
                <w:szCs w:val="22"/>
                <w:lang w:val="pl-PL" w:eastAsia="de-DE"/>
              </w:rPr>
              <w:t xml:space="preserve"> </w:t>
            </w:r>
          </w:p>
        </w:tc>
      </w:tr>
    </w:tbl>
    <w:p w14:paraId="785B70AA" w14:textId="77777777" w:rsidR="008C16FE" w:rsidRPr="002D6250" w:rsidRDefault="008C16FE" w:rsidP="008C16FE">
      <w:pPr>
        <w:spacing w:line="276" w:lineRule="auto"/>
        <w:jc w:val="both"/>
        <w:rPr>
          <w:rFonts w:ascii="Arial" w:hAnsi="Arial" w:cs="Arial"/>
          <w:sz w:val="14"/>
          <w:szCs w:val="22"/>
          <w:lang w:val="pl-PL" w:eastAsia="de-DE"/>
        </w:rPr>
      </w:pPr>
    </w:p>
    <w:p w14:paraId="66FE25D6" w14:textId="216F544F" w:rsidR="008C16FE" w:rsidRPr="002D6250" w:rsidRDefault="00B37395" w:rsidP="00B37395">
      <w:pPr>
        <w:spacing w:line="276" w:lineRule="auto"/>
        <w:jc w:val="both"/>
        <w:rPr>
          <w:rFonts w:ascii="Arial" w:hAnsi="Arial" w:cs="Arial"/>
          <w:sz w:val="22"/>
          <w:szCs w:val="22"/>
          <w:lang w:val="pl-PL" w:eastAsia="de-DE"/>
        </w:rPr>
      </w:pPr>
      <w:r w:rsidRPr="00B37395">
        <w:rPr>
          <w:rFonts w:ascii="Arial" w:hAnsi="Arial" w:cs="Arial"/>
          <w:sz w:val="22"/>
          <w:szCs w:val="22"/>
          <w:lang w:val="pl-PL" w:eastAsia="de-DE"/>
        </w:rPr>
        <w:t>Więcej informacji na stronie www.trilux.com</w:t>
      </w:r>
    </w:p>
    <w:sectPr w:rsidR="008C16FE" w:rsidRPr="002D6250" w:rsidSect="008C16FE">
      <w:headerReference w:type="default" r:id="rId11"/>
      <w:footerReference w:type="default" r:id="rId12"/>
      <w:pgSz w:w="11906" w:h="16838"/>
      <w:pgMar w:top="1985" w:right="566" w:bottom="1134" w:left="1260" w:header="0" w:footer="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062760" w14:textId="77777777" w:rsidR="00D670D5" w:rsidRDefault="00D670D5">
      <w:r>
        <w:separator/>
      </w:r>
    </w:p>
  </w:endnote>
  <w:endnote w:type="continuationSeparator" w:id="0">
    <w:p w14:paraId="400CB5C2" w14:textId="77777777" w:rsidR="00D670D5" w:rsidRDefault="00D670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AG Rounded Light">
    <w:altName w:val="Times New Roman"/>
    <w:panose1 w:val="00000000000000000000"/>
    <w:charset w:val="4D"/>
    <w:family w:val="swiss"/>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venir Book">
    <w:altName w:val="Times New Roman"/>
    <w:charset w:val="00"/>
    <w:family w:val="auto"/>
    <w:pitch w:val="variable"/>
    <w:sig w:usb0="800000AF" w:usb1="5000204A" w:usb2="00000000" w:usb3="00000000" w:csb0="0000009B"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roman"/>
    <w:pitch w:val="fixed"/>
    <w:sig w:usb0="00000001" w:usb1="08070000" w:usb2="00000010" w:usb3="00000000" w:csb0="00020000" w:csb1="00000000"/>
  </w:font>
  <w:font w:name="Malgun Gothic">
    <w:panose1 w:val="020B0503020000020004"/>
    <w:charset w:val="81"/>
    <w:family w:val="swiss"/>
    <w:pitch w:val="variable"/>
    <w:sig w:usb0="9000002F" w:usb1="29D77CFB" w:usb2="00000012" w:usb3="00000000" w:csb0="00080001" w:csb1="00000000"/>
  </w:font>
  <w:font w:name="Trilux DIN-Normal">
    <w:altName w:val="Corbel"/>
    <w:charset w:val="00"/>
    <w:family w:val="auto"/>
    <w:pitch w:val="variable"/>
    <w:sig w:usb0="800002AF" w:usb1="4000206A" w:usb2="00000000" w:usb3="00000000" w:csb0="000000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823EE" w14:textId="77777777" w:rsidR="00EE4EAB" w:rsidRPr="008E41D1" w:rsidRDefault="00EE4EAB" w:rsidP="00072F38">
    <w:pPr>
      <w:pStyle w:val="Footer"/>
      <w:ind w:left="-180" w:hanging="1080"/>
      <w:rPr>
        <w:rFonts w:ascii="Trilux DIN-Normal" w:hAnsi="Trilux DIN-Norm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806223" w14:textId="77777777" w:rsidR="00D670D5" w:rsidRDefault="00D670D5">
      <w:r>
        <w:separator/>
      </w:r>
    </w:p>
  </w:footnote>
  <w:footnote w:type="continuationSeparator" w:id="0">
    <w:p w14:paraId="5FEC9AE8" w14:textId="77777777" w:rsidR="00D670D5" w:rsidRDefault="00D670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37F51" w14:textId="77777777" w:rsidR="00EE4EAB" w:rsidRDefault="00EE4EAB">
    <w:pPr>
      <w:pStyle w:val="Header"/>
      <w:tabs>
        <w:tab w:val="clear" w:pos="9072"/>
        <w:tab w:val="left" w:pos="390"/>
        <w:tab w:val="left" w:pos="1050"/>
        <w:tab w:val="right" w:pos="9900"/>
      </w:tabs>
      <w:ind w:right="-671" w:hanging="1260"/>
    </w:pPr>
    <w:r>
      <w:rPr>
        <w:noProof/>
      </w:rPr>
      <w:drawing>
        <wp:inline distT="0" distB="0" distL="0" distR="0" wp14:anchorId="3FD4BD91" wp14:editId="5F79418F">
          <wp:extent cx="7559675" cy="1084580"/>
          <wp:effectExtent l="0" t="0" r="0" b="1270"/>
          <wp:docPr id="12" name="Bild 1" descr="Kopf_abJuni2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opf_abJuni20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845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01A17F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4A60DCF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BFDE5954"/>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D66EBE08"/>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1682DF7A"/>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5C6C01C"/>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B1E5204"/>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41A61044"/>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4D06FF4"/>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97AE57DC"/>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0972D6D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12D6529"/>
    <w:multiLevelType w:val="hybridMultilevel"/>
    <w:tmpl w:val="41DE37C6"/>
    <w:lvl w:ilvl="0" w:tplc="366669B0">
      <w:start w:val="1"/>
      <w:numFmt w:val="bullet"/>
      <w:lvlText w:val="•"/>
      <w:lvlJc w:val="left"/>
      <w:pPr>
        <w:tabs>
          <w:tab w:val="num" w:pos="720"/>
        </w:tabs>
        <w:ind w:left="720" w:hanging="360"/>
      </w:pPr>
      <w:rPr>
        <w:rFonts w:ascii="Arial" w:hAnsi="Arial" w:cs="Times New Roman" w:hint="default"/>
      </w:rPr>
    </w:lvl>
    <w:lvl w:ilvl="1" w:tplc="0FDE2F4C">
      <w:start w:val="1"/>
      <w:numFmt w:val="bullet"/>
      <w:lvlText w:val="•"/>
      <w:lvlJc w:val="left"/>
      <w:pPr>
        <w:tabs>
          <w:tab w:val="num" w:pos="1440"/>
        </w:tabs>
        <w:ind w:left="1440" w:hanging="360"/>
      </w:pPr>
      <w:rPr>
        <w:rFonts w:ascii="Arial" w:hAnsi="Arial" w:cs="Times New Roman" w:hint="default"/>
      </w:rPr>
    </w:lvl>
    <w:lvl w:ilvl="2" w:tplc="F23806BE">
      <w:start w:val="206"/>
      <w:numFmt w:val="bullet"/>
      <w:lvlText w:val="•"/>
      <w:lvlJc w:val="left"/>
      <w:pPr>
        <w:tabs>
          <w:tab w:val="num" w:pos="2160"/>
        </w:tabs>
        <w:ind w:left="2160" w:hanging="360"/>
      </w:pPr>
      <w:rPr>
        <w:rFonts w:ascii="Arial" w:hAnsi="Arial" w:cs="Times New Roman" w:hint="default"/>
      </w:rPr>
    </w:lvl>
    <w:lvl w:ilvl="3" w:tplc="205CC21A">
      <w:start w:val="1"/>
      <w:numFmt w:val="bullet"/>
      <w:lvlText w:val="•"/>
      <w:lvlJc w:val="left"/>
      <w:pPr>
        <w:tabs>
          <w:tab w:val="num" w:pos="2880"/>
        </w:tabs>
        <w:ind w:left="2880" w:hanging="360"/>
      </w:pPr>
      <w:rPr>
        <w:rFonts w:ascii="Arial" w:hAnsi="Arial" w:cs="Times New Roman" w:hint="default"/>
      </w:rPr>
    </w:lvl>
    <w:lvl w:ilvl="4" w:tplc="DC10F306">
      <w:start w:val="1"/>
      <w:numFmt w:val="bullet"/>
      <w:lvlText w:val="•"/>
      <w:lvlJc w:val="left"/>
      <w:pPr>
        <w:tabs>
          <w:tab w:val="num" w:pos="3600"/>
        </w:tabs>
        <w:ind w:left="3600" w:hanging="360"/>
      </w:pPr>
      <w:rPr>
        <w:rFonts w:ascii="Arial" w:hAnsi="Arial" w:cs="Times New Roman" w:hint="default"/>
      </w:rPr>
    </w:lvl>
    <w:lvl w:ilvl="5" w:tplc="B92A35B6">
      <w:start w:val="1"/>
      <w:numFmt w:val="bullet"/>
      <w:lvlText w:val="•"/>
      <w:lvlJc w:val="left"/>
      <w:pPr>
        <w:tabs>
          <w:tab w:val="num" w:pos="4320"/>
        </w:tabs>
        <w:ind w:left="4320" w:hanging="360"/>
      </w:pPr>
      <w:rPr>
        <w:rFonts w:ascii="Arial" w:hAnsi="Arial" w:cs="Times New Roman" w:hint="default"/>
      </w:rPr>
    </w:lvl>
    <w:lvl w:ilvl="6" w:tplc="DA800A04">
      <w:start w:val="1"/>
      <w:numFmt w:val="bullet"/>
      <w:lvlText w:val="•"/>
      <w:lvlJc w:val="left"/>
      <w:pPr>
        <w:tabs>
          <w:tab w:val="num" w:pos="5040"/>
        </w:tabs>
        <w:ind w:left="5040" w:hanging="360"/>
      </w:pPr>
      <w:rPr>
        <w:rFonts w:ascii="Arial" w:hAnsi="Arial" w:cs="Times New Roman" w:hint="default"/>
      </w:rPr>
    </w:lvl>
    <w:lvl w:ilvl="7" w:tplc="A06E2C92">
      <w:start w:val="1"/>
      <w:numFmt w:val="bullet"/>
      <w:lvlText w:val="•"/>
      <w:lvlJc w:val="left"/>
      <w:pPr>
        <w:tabs>
          <w:tab w:val="num" w:pos="5760"/>
        </w:tabs>
        <w:ind w:left="5760" w:hanging="360"/>
      </w:pPr>
      <w:rPr>
        <w:rFonts w:ascii="Arial" w:hAnsi="Arial" w:cs="Times New Roman" w:hint="default"/>
      </w:rPr>
    </w:lvl>
    <w:lvl w:ilvl="8" w:tplc="54BAB508">
      <w:start w:val="1"/>
      <w:numFmt w:val="bullet"/>
      <w:lvlText w:val="•"/>
      <w:lvlJc w:val="left"/>
      <w:pPr>
        <w:tabs>
          <w:tab w:val="num" w:pos="6480"/>
        </w:tabs>
        <w:ind w:left="6480" w:hanging="360"/>
      </w:pPr>
      <w:rPr>
        <w:rFonts w:ascii="Arial" w:hAnsi="Arial" w:cs="Times New Roman" w:hint="default"/>
      </w:rPr>
    </w:lvl>
  </w:abstractNum>
  <w:abstractNum w:abstractNumId="12" w15:restartNumberingAfterBreak="0">
    <w:nsid w:val="290263E4"/>
    <w:multiLevelType w:val="hybridMultilevel"/>
    <w:tmpl w:val="EC262FEE"/>
    <w:lvl w:ilvl="0" w:tplc="1EDEA3DE">
      <w:start w:val="1"/>
      <w:numFmt w:val="bullet"/>
      <w:lvlText w:val=""/>
      <w:lvlJc w:val="left"/>
      <w:pPr>
        <w:tabs>
          <w:tab w:val="num" w:pos="720"/>
        </w:tabs>
        <w:ind w:left="720" w:hanging="360"/>
      </w:pPr>
      <w:rPr>
        <w:rFonts w:ascii="Wingdings" w:hAnsi="Wingdings" w:hint="default"/>
      </w:rPr>
    </w:lvl>
    <w:lvl w:ilvl="1" w:tplc="E472AB42">
      <w:numFmt w:val="bullet"/>
      <w:lvlText w:val=""/>
      <w:lvlJc w:val="left"/>
      <w:pPr>
        <w:tabs>
          <w:tab w:val="num" w:pos="1440"/>
        </w:tabs>
        <w:ind w:left="1440" w:hanging="360"/>
      </w:pPr>
      <w:rPr>
        <w:rFonts w:ascii="Wingdings" w:hAnsi="Wingdings" w:hint="default"/>
      </w:rPr>
    </w:lvl>
    <w:lvl w:ilvl="2" w:tplc="84B0E2F8" w:tentative="1">
      <w:start w:val="1"/>
      <w:numFmt w:val="bullet"/>
      <w:lvlText w:val=""/>
      <w:lvlJc w:val="left"/>
      <w:pPr>
        <w:tabs>
          <w:tab w:val="num" w:pos="2160"/>
        </w:tabs>
        <w:ind w:left="2160" w:hanging="360"/>
      </w:pPr>
      <w:rPr>
        <w:rFonts w:ascii="Wingdings" w:hAnsi="Wingdings" w:hint="default"/>
      </w:rPr>
    </w:lvl>
    <w:lvl w:ilvl="3" w:tplc="E7DCA082" w:tentative="1">
      <w:start w:val="1"/>
      <w:numFmt w:val="bullet"/>
      <w:lvlText w:val=""/>
      <w:lvlJc w:val="left"/>
      <w:pPr>
        <w:tabs>
          <w:tab w:val="num" w:pos="2880"/>
        </w:tabs>
        <w:ind w:left="2880" w:hanging="360"/>
      </w:pPr>
      <w:rPr>
        <w:rFonts w:ascii="Wingdings" w:hAnsi="Wingdings" w:hint="default"/>
      </w:rPr>
    </w:lvl>
    <w:lvl w:ilvl="4" w:tplc="45DC8E1C" w:tentative="1">
      <w:start w:val="1"/>
      <w:numFmt w:val="bullet"/>
      <w:lvlText w:val=""/>
      <w:lvlJc w:val="left"/>
      <w:pPr>
        <w:tabs>
          <w:tab w:val="num" w:pos="3600"/>
        </w:tabs>
        <w:ind w:left="3600" w:hanging="360"/>
      </w:pPr>
      <w:rPr>
        <w:rFonts w:ascii="Wingdings" w:hAnsi="Wingdings" w:hint="default"/>
      </w:rPr>
    </w:lvl>
    <w:lvl w:ilvl="5" w:tplc="2F30AB64" w:tentative="1">
      <w:start w:val="1"/>
      <w:numFmt w:val="bullet"/>
      <w:lvlText w:val=""/>
      <w:lvlJc w:val="left"/>
      <w:pPr>
        <w:tabs>
          <w:tab w:val="num" w:pos="4320"/>
        </w:tabs>
        <w:ind w:left="4320" w:hanging="360"/>
      </w:pPr>
      <w:rPr>
        <w:rFonts w:ascii="Wingdings" w:hAnsi="Wingdings" w:hint="default"/>
      </w:rPr>
    </w:lvl>
    <w:lvl w:ilvl="6" w:tplc="C8E227C0" w:tentative="1">
      <w:start w:val="1"/>
      <w:numFmt w:val="bullet"/>
      <w:lvlText w:val=""/>
      <w:lvlJc w:val="left"/>
      <w:pPr>
        <w:tabs>
          <w:tab w:val="num" w:pos="5040"/>
        </w:tabs>
        <w:ind w:left="5040" w:hanging="360"/>
      </w:pPr>
      <w:rPr>
        <w:rFonts w:ascii="Wingdings" w:hAnsi="Wingdings" w:hint="default"/>
      </w:rPr>
    </w:lvl>
    <w:lvl w:ilvl="7" w:tplc="71A8A9F0" w:tentative="1">
      <w:start w:val="1"/>
      <w:numFmt w:val="bullet"/>
      <w:lvlText w:val=""/>
      <w:lvlJc w:val="left"/>
      <w:pPr>
        <w:tabs>
          <w:tab w:val="num" w:pos="5760"/>
        </w:tabs>
        <w:ind w:left="5760" w:hanging="360"/>
      </w:pPr>
      <w:rPr>
        <w:rFonts w:ascii="Wingdings" w:hAnsi="Wingdings" w:hint="default"/>
      </w:rPr>
    </w:lvl>
    <w:lvl w:ilvl="8" w:tplc="D7E4CB26"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85E3A78"/>
    <w:multiLevelType w:val="hybridMultilevel"/>
    <w:tmpl w:val="AB6E4C4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4" w15:restartNumberingAfterBreak="0">
    <w:nsid w:val="473F01C1"/>
    <w:multiLevelType w:val="hybridMultilevel"/>
    <w:tmpl w:val="F9E20E90"/>
    <w:lvl w:ilvl="0" w:tplc="1054C3BE">
      <w:start w:val="1"/>
      <w:numFmt w:val="bullet"/>
      <w:lvlText w:val="•"/>
      <w:lvlJc w:val="left"/>
      <w:pPr>
        <w:tabs>
          <w:tab w:val="num" w:pos="720"/>
        </w:tabs>
        <w:ind w:left="720" w:hanging="360"/>
      </w:pPr>
      <w:rPr>
        <w:rFonts w:ascii="Arial" w:hAnsi="Arial" w:cs="Times New Roman" w:hint="default"/>
      </w:rPr>
    </w:lvl>
    <w:lvl w:ilvl="1" w:tplc="F59E4030">
      <w:start w:val="206"/>
      <w:numFmt w:val="bullet"/>
      <w:lvlText w:val="•"/>
      <w:lvlJc w:val="left"/>
      <w:pPr>
        <w:tabs>
          <w:tab w:val="num" w:pos="1440"/>
        </w:tabs>
        <w:ind w:left="1440" w:hanging="360"/>
      </w:pPr>
      <w:rPr>
        <w:rFonts w:ascii="Arial" w:hAnsi="Arial" w:cs="Times New Roman" w:hint="default"/>
      </w:rPr>
    </w:lvl>
    <w:lvl w:ilvl="2" w:tplc="EA5C7114">
      <w:start w:val="206"/>
      <w:numFmt w:val="bullet"/>
      <w:lvlText w:val="•"/>
      <w:lvlJc w:val="left"/>
      <w:pPr>
        <w:tabs>
          <w:tab w:val="num" w:pos="2160"/>
        </w:tabs>
        <w:ind w:left="2160" w:hanging="360"/>
      </w:pPr>
      <w:rPr>
        <w:rFonts w:ascii="Arial" w:hAnsi="Arial" w:cs="Times New Roman" w:hint="default"/>
      </w:rPr>
    </w:lvl>
    <w:lvl w:ilvl="3" w:tplc="9BC44372">
      <w:start w:val="1"/>
      <w:numFmt w:val="bullet"/>
      <w:lvlText w:val="•"/>
      <w:lvlJc w:val="left"/>
      <w:pPr>
        <w:tabs>
          <w:tab w:val="num" w:pos="2880"/>
        </w:tabs>
        <w:ind w:left="2880" w:hanging="360"/>
      </w:pPr>
      <w:rPr>
        <w:rFonts w:ascii="Arial" w:hAnsi="Arial" w:cs="Times New Roman" w:hint="default"/>
      </w:rPr>
    </w:lvl>
    <w:lvl w:ilvl="4" w:tplc="E82ED5DC">
      <w:start w:val="1"/>
      <w:numFmt w:val="bullet"/>
      <w:lvlText w:val="•"/>
      <w:lvlJc w:val="left"/>
      <w:pPr>
        <w:tabs>
          <w:tab w:val="num" w:pos="3600"/>
        </w:tabs>
        <w:ind w:left="3600" w:hanging="360"/>
      </w:pPr>
      <w:rPr>
        <w:rFonts w:ascii="Arial" w:hAnsi="Arial" w:cs="Times New Roman" w:hint="default"/>
      </w:rPr>
    </w:lvl>
    <w:lvl w:ilvl="5" w:tplc="E174ABA8">
      <w:start w:val="1"/>
      <w:numFmt w:val="bullet"/>
      <w:lvlText w:val="•"/>
      <w:lvlJc w:val="left"/>
      <w:pPr>
        <w:tabs>
          <w:tab w:val="num" w:pos="4320"/>
        </w:tabs>
        <w:ind w:left="4320" w:hanging="360"/>
      </w:pPr>
      <w:rPr>
        <w:rFonts w:ascii="Arial" w:hAnsi="Arial" w:cs="Times New Roman" w:hint="default"/>
      </w:rPr>
    </w:lvl>
    <w:lvl w:ilvl="6" w:tplc="DD9E91D4">
      <w:start w:val="1"/>
      <w:numFmt w:val="bullet"/>
      <w:lvlText w:val="•"/>
      <w:lvlJc w:val="left"/>
      <w:pPr>
        <w:tabs>
          <w:tab w:val="num" w:pos="5040"/>
        </w:tabs>
        <w:ind w:left="5040" w:hanging="360"/>
      </w:pPr>
      <w:rPr>
        <w:rFonts w:ascii="Arial" w:hAnsi="Arial" w:cs="Times New Roman" w:hint="default"/>
      </w:rPr>
    </w:lvl>
    <w:lvl w:ilvl="7" w:tplc="15B03FD0">
      <w:start w:val="1"/>
      <w:numFmt w:val="bullet"/>
      <w:lvlText w:val="•"/>
      <w:lvlJc w:val="left"/>
      <w:pPr>
        <w:tabs>
          <w:tab w:val="num" w:pos="5760"/>
        </w:tabs>
        <w:ind w:left="5760" w:hanging="360"/>
      </w:pPr>
      <w:rPr>
        <w:rFonts w:ascii="Arial" w:hAnsi="Arial" w:cs="Times New Roman" w:hint="default"/>
      </w:rPr>
    </w:lvl>
    <w:lvl w:ilvl="8" w:tplc="5E122B4C">
      <w:start w:val="1"/>
      <w:numFmt w:val="bullet"/>
      <w:lvlText w:val="•"/>
      <w:lvlJc w:val="left"/>
      <w:pPr>
        <w:tabs>
          <w:tab w:val="num" w:pos="6480"/>
        </w:tabs>
        <w:ind w:left="6480" w:hanging="360"/>
      </w:pPr>
      <w:rPr>
        <w:rFonts w:ascii="Arial" w:hAnsi="Arial" w:cs="Times New Roman" w:hint="default"/>
      </w:rPr>
    </w:lvl>
  </w:abstractNum>
  <w:abstractNum w:abstractNumId="15" w15:restartNumberingAfterBreak="0">
    <w:nsid w:val="4E1005E1"/>
    <w:multiLevelType w:val="hybridMultilevel"/>
    <w:tmpl w:val="59B254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19195374">
    <w:abstractNumId w:val="10"/>
  </w:num>
  <w:num w:numId="2" w16cid:durableId="764960286">
    <w:abstractNumId w:val="8"/>
  </w:num>
  <w:num w:numId="3" w16cid:durableId="2082868617">
    <w:abstractNumId w:val="7"/>
  </w:num>
  <w:num w:numId="4" w16cid:durableId="105008429">
    <w:abstractNumId w:val="6"/>
  </w:num>
  <w:num w:numId="5" w16cid:durableId="1814180817">
    <w:abstractNumId w:val="5"/>
  </w:num>
  <w:num w:numId="6" w16cid:durableId="2052683913">
    <w:abstractNumId w:val="9"/>
  </w:num>
  <w:num w:numId="7" w16cid:durableId="202325489">
    <w:abstractNumId w:val="4"/>
  </w:num>
  <w:num w:numId="8" w16cid:durableId="198670981">
    <w:abstractNumId w:val="3"/>
  </w:num>
  <w:num w:numId="9" w16cid:durableId="1355231636">
    <w:abstractNumId w:val="2"/>
  </w:num>
  <w:num w:numId="10" w16cid:durableId="940525334">
    <w:abstractNumId w:val="1"/>
  </w:num>
  <w:num w:numId="11" w16cid:durableId="551384911">
    <w:abstractNumId w:val="0"/>
  </w:num>
  <w:num w:numId="12" w16cid:durableId="581642627">
    <w:abstractNumId w:val="15"/>
  </w:num>
  <w:num w:numId="13" w16cid:durableId="1856724403">
    <w:abstractNumId w:val="13"/>
  </w:num>
  <w:num w:numId="14" w16cid:durableId="1481844048">
    <w:abstractNumId w:val="11"/>
  </w:num>
  <w:num w:numId="15" w16cid:durableId="1791821321">
    <w:abstractNumId w:val="14"/>
  </w:num>
  <w:num w:numId="16" w16cid:durableId="180912825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7274"/>
    <w:rsid w:val="00001A9E"/>
    <w:rsid w:val="0000205D"/>
    <w:rsid w:val="00002D6A"/>
    <w:rsid w:val="00005F79"/>
    <w:rsid w:val="00011908"/>
    <w:rsid w:val="00014D1B"/>
    <w:rsid w:val="000207E5"/>
    <w:rsid w:val="000238BC"/>
    <w:rsid w:val="00023E7F"/>
    <w:rsid w:val="00025CF1"/>
    <w:rsid w:val="000316B1"/>
    <w:rsid w:val="00032055"/>
    <w:rsid w:val="00036BA2"/>
    <w:rsid w:val="00037FDE"/>
    <w:rsid w:val="000434A3"/>
    <w:rsid w:val="00056305"/>
    <w:rsid w:val="00057C80"/>
    <w:rsid w:val="00063DDB"/>
    <w:rsid w:val="000643E5"/>
    <w:rsid w:val="000651E1"/>
    <w:rsid w:val="00070226"/>
    <w:rsid w:val="00071912"/>
    <w:rsid w:val="00071E80"/>
    <w:rsid w:val="00072F38"/>
    <w:rsid w:val="00073A28"/>
    <w:rsid w:val="00077B02"/>
    <w:rsid w:val="00085843"/>
    <w:rsid w:val="00087B47"/>
    <w:rsid w:val="00087ED9"/>
    <w:rsid w:val="000907EA"/>
    <w:rsid w:val="00090BCA"/>
    <w:rsid w:val="00092265"/>
    <w:rsid w:val="00093CF2"/>
    <w:rsid w:val="00095F81"/>
    <w:rsid w:val="00096035"/>
    <w:rsid w:val="00096811"/>
    <w:rsid w:val="000969DA"/>
    <w:rsid w:val="000A1CF7"/>
    <w:rsid w:val="000A2C2A"/>
    <w:rsid w:val="000A485C"/>
    <w:rsid w:val="000A6C1A"/>
    <w:rsid w:val="000A7D72"/>
    <w:rsid w:val="000B762E"/>
    <w:rsid w:val="000C1137"/>
    <w:rsid w:val="000C3980"/>
    <w:rsid w:val="000C3FBB"/>
    <w:rsid w:val="000C58FD"/>
    <w:rsid w:val="000C5D9E"/>
    <w:rsid w:val="000D4BCC"/>
    <w:rsid w:val="000D6A46"/>
    <w:rsid w:val="000D773B"/>
    <w:rsid w:val="000E30D2"/>
    <w:rsid w:val="000E31CE"/>
    <w:rsid w:val="000E4C2E"/>
    <w:rsid w:val="000E62FB"/>
    <w:rsid w:val="000F018F"/>
    <w:rsid w:val="000F051D"/>
    <w:rsid w:val="000F3000"/>
    <w:rsid w:val="00101C99"/>
    <w:rsid w:val="00103255"/>
    <w:rsid w:val="001076AE"/>
    <w:rsid w:val="00112D30"/>
    <w:rsid w:val="00117AE4"/>
    <w:rsid w:val="001201A0"/>
    <w:rsid w:val="00124021"/>
    <w:rsid w:val="00124759"/>
    <w:rsid w:val="00143865"/>
    <w:rsid w:val="00157033"/>
    <w:rsid w:val="001603BF"/>
    <w:rsid w:val="00160765"/>
    <w:rsid w:val="00163CC2"/>
    <w:rsid w:val="00167891"/>
    <w:rsid w:val="00174C8A"/>
    <w:rsid w:val="0017702E"/>
    <w:rsid w:val="00181904"/>
    <w:rsid w:val="00185C61"/>
    <w:rsid w:val="00194128"/>
    <w:rsid w:val="00195AFE"/>
    <w:rsid w:val="001A40DA"/>
    <w:rsid w:val="001A41AD"/>
    <w:rsid w:val="001A43C5"/>
    <w:rsid w:val="001A600E"/>
    <w:rsid w:val="001A7136"/>
    <w:rsid w:val="001B0851"/>
    <w:rsid w:val="001B14BC"/>
    <w:rsid w:val="001B3B12"/>
    <w:rsid w:val="001B415D"/>
    <w:rsid w:val="001B5A7E"/>
    <w:rsid w:val="001B6960"/>
    <w:rsid w:val="001B6BCB"/>
    <w:rsid w:val="001C2B05"/>
    <w:rsid w:val="001C5BD3"/>
    <w:rsid w:val="001D46BD"/>
    <w:rsid w:val="001E133D"/>
    <w:rsid w:val="001E2A63"/>
    <w:rsid w:val="001E398E"/>
    <w:rsid w:val="001E6C9C"/>
    <w:rsid w:val="001E6E91"/>
    <w:rsid w:val="001E70BA"/>
    <w:rsid w:val="001F0BCA"/>
    <w:rsid w:val="001F35C4"/>
    <w:rsid w:val="001F5AEA"/>
    <w:rsid w:val="001F7A75"/>
    <w:rsid w:val="00200E72"/>
    <w:rsid w:val="002016A5"/>
    <w:rsid w:val="00204B02"/>
    <w:rsid w:val="00206F32"/>
    <w:rsid w:val="00213474"/>
    <w:rsid w:val="00220620"/>
    <w:rsid w:val="00221FC2"/>
    <w:rsid w:val="00222D61"/>
    <w:rsid w:val="00226022"/>
    <w:rsid w:val="00227112"/>
    <w:rsid w:val="00227AC9"/>
    <w:rsid w:val="00231BC2"/>
    <w:rsid w:val="00237E60"/>
    <w:rsid w:val="00242F18"/>
    <w:rsid w:val="00246B90"/>
    <w:rsid w:val="002513D2"/>
    <w:rsid w:val="0025329B"/>
    <w:rsid w:val="00256F93"/>
    <w:rsid w:val="00270659"/>
    <w:rsid w:val="0027340E"/>
    <w:rsid w:val="002762D1"/>
    <w:rsid w:val="00277708"/>
    <w:rsid w:val="002822F3"/>
    <w:rsid w:val="0028702A"/>
    <w:rsid w:val="00287817"/>
    <w:rsid w:val="00287A7F"/>
    <w:rsid w:val="00294B8D"/>
    <w:rsid w:val="00296B07"/>
    <w:rsid w:val="002A0028"/>
    <w:rsid w:val="002A5103"/>
    <w:rsid w:val="002B0AC6"/>
    <w:rsid w:val="002B22A7"/>
    <w:rsid w:val="002B2B16"/>
    <w:rsid w:val="002B34DE"/>
    <w:rsid w:val="002C0412"/>
    <w:rsid w:val="002C34B8"/>
    <w:rsid w:val="002D29B9"/>
    <w:rsid w:val="002D6250"/>
    <w:rsid w:val="002E5F00"/>
    <w:rsid w:val="002F2B9C"/>
    <w:rsid w:val="002F4405"/>
    <w:rsid w:val="0030283F"/>
    <w:rsid w:val="00304016"/>
    <w:rsid w:val="00304A44"/>
    <w:rsid w:val="00305F16"/>
    <w:rsid w:val="00307DBF"/>
    <w:rsid w:val="003112FF"/>
    <w:rsid w:val="00312015"/>
    <w:rsid w:val="00312422"/>
    <w:rsid w:val="00313063"/>
    <w:rsid w:val="00314D78"/>
    <w:rsid w:val="00314D7A"/>
    <w:rsid w:val="0031511B"/>
    <w:rsid w:val="00315EB4"/>
    <w:rsid w:val="003163A1"/>
    <w:rsid w:val="003222FE"/>
    <w:rsid w:val="00323FE9"/>
    <w:rsid w:val="0032603E"/>
    <w:rsid w:val="0032646A"/>
    <w:rsid w:val="00332A19"/>
    <w:rsid w:val="003346EC"/>
    <w:rsid w:val="00335641"/>
    <w:rsid w:val="00335D00"/>
    <w:rsid w:val="00336494"/>
    <w:rsid w:val="003479BA"/>
    <w:rsid w:val="003532C0"/>
    <w:rsid w:val="00360556"/>
    <w:rsid w:val="00371585"/>
    <w:rsid w:val="00374771"/>
    <w:rsid w:val="00375624"/>
    <w:rsid w:val="003832EE"/>
    <w:rsid w:val="00383460"/>
    <w:rsid w:val="003B02CB"/>
    <w:rsid w:val="003B76E9"/>
    <w:rsid w:val="003B7938"/>
    <w:rsid w:val="003C0BE4"/>
    <w:rsid w:val="003C1F89"/>
    <w:rsid w:val="003C26A2"/>
    <w:rsid w:val="003D0E13"/>
    <w:rsid w:val="003D29D9"/>
    <w:rsid w:val="003D3E78"/>
    <w:rsid w:val="003D522E"/>
    <w:rsid w:val="003D5988"/>
    <w:rsid w:val="003E2663"/>
    <w:rsid w:val="003E5564"/>
    <w:rsid w:val="003E6480"/>
    <w:rsid w:val="003E726B"/>
    <w:rsid w:val="003F2CFE"/>
    <w:rsid w:val="00400257"/>
    <w:rsid w:val="004038DE"/>
    <w:rsid w:val="0040478F"/>
    <w:rsid w:val="004129BF"/>
    <w:rsid w:val="004144DB"/>
    <w:rsid w:val="00414CD1"/>
    <w:rsid w:val="00414FD7"/>
    <w:rsid w:val="0041641F"/>
    <w:rsid w:val="00416EAC"/>
    <w:rsid w:val="00417348"/>
    <w:rsid w:val="004208A3"/>
    <w:rsid w:val="004229A8"/>
    <w:rsid w:val="0042361A"/>
    <w:rsid w:val="004249A2"/>
    <w:rsid w:val="0042712D"/>
    <w:rsid w:val="004273FC"/>
    <w:rsid w:val="004354C5"/>
    <w:rsid w:val="00445252"/>
    <w:rsid w:val="00451403"/>
    <w:rsid w:val="00457706"/>
    <w:rsid w:val="00457FE0"/>
    <w:rsid w:val="0046241D"/>
    <w:rsid w:val="004628F1"/>
    <w:rsid w:val="0046755F"/>
    <w:rsid w:val="00471510"/>
    <w:rsid w:val="00471BE4"/>
    <w:rsid w:val="004763C5"/>
    <w:rsid w:val="00481615"/>
    <w:rsid w:val="0048234A"/>
    <w:rsid w:val="00493985"/>
    <w:rsid w:val="00497274"/>
    <w:rsid w:val="004A0BFF"/>
    <w:rsid w:val="004A19A7"/>
    <w:rsid w:val="004A7349"/>
    <w:rsid w:val="004B007C"/>
    <w:rsid w:val="004B4C79"/>
    <w:rsid w:val="004B53C5"/>
    <w:rsid w:val="004B53E5"/>
    <w:rsid w:val="004B610B"/>
    <w:rsid w:val="004B6382"/>
    <w:rsid w:val="004B7725"/>
    <w:rsid w:val="004C77E0"/>
    <w:rsid w:val="004D2923"/>
    <w:rsid w:val="004D2BF5"/>
    <w:rsid w:val="004D3978"/>
    <w:rsid w:val="004E01E3"/>
    <w:rsid w:val="004E4191"/>
    <w:rsid w:val="004E7E20"/>
    <w:rsid w:val="004F310A"/>
    <w:rsid w:val="004F4F13"/>
    <w:rsid w:val="005031D9"/>
    <w:rsid w:val="00504925"/>
    <w:rsid w:val="00513EF3"/>
    <w:rsid w:val="00514C5D"/>
    <w:rsid w:val="00521893"/>
    <w:rsid w:val="0052477E"/>
    <w:rsid w:val="005300A1"/>
    <w:rsid w:val="00533551"/>
    <w:rsid w:val="00533782"/>
    <w:rsid w:val="0053594B"/>
    <w:rsid w:val="00535FF1"/>
    <w:rsid w:val="00541D70"/>
    <w:rsid w:val="005465E7"/>
    <w:rsid w:val="005478AD"/>
    <w:rsid w:val="00550B76"/>
    <w:rsid w:val="00554755"/>
    <w:rsid w:val="005557CE"/>
    <w:rsid w:val="00561DB7"/>
    <w:rsid w:val="005707A4"/>
    <w:rsid w:val="0057685A"/>
    <w:rsid w:val="00582F63"/>
    <w:rsid w:val="00587307"/>
    <w:rsid w:val="005964A6"/>
    <w:rsid w:val="005968E1"/>
    <w:rsid w:val="005A2DF6"/>
    <w:rsid w:val="005B4B3A"/>
    <w:rsid w:val="005B4D04"/>
    <w:rsid w:val="005C17F8"/>
    <w:rsid w:val="005C2A22"/>
    <w:rsid w:val="005C3279"/>
    <w:rsid w:val="005C4AED"/>
    <w:rsid w:val="005C572B"/>
    <w:rsid w:val="005D20AB"/>
    <w:rsid w:val="005D3F49"/>
    <w:rsid w:val="005D5EFF"/>
    <w:rsid w:val="005D6862"/>
    <w:rsid w:val="005E043B"/>
    <w:rsid w:val="005E0DA4"/>
    <w:rsid w:val="005E4857"/>
    <w:rsid w:val="005E7367"/>
    <w:rsid w:val="005F2103"/>
    <w:rsid w:val="005F221E"/>
    <w:rsid w:val="005F65AB"/>
    <w:rsid w:val="00601933"/>
    <w:rsid w:val="00603D07"/>
    <w:rsid w:val="0060580E"/>
    <w:rsid w:val="00610B1C"/>
    <w:rsid w:val="00617216"/>
    <w:rsid w:val="0061775C"/>
    <w:rsid w:val="006216AF"/>
    <w:rsid w:val="00623585"/>
    <w:rsid w:val="00624886"/>
    <w:rsid w:val="00625557"/>
    <w:rsid w:val="00625E00"/>
    <w:rsid w:val="006336D1"/>
    <w:rsid w:val="00640337"/>
    <w:rsid w:val="00641ABB"/>
    <w:rsid w:val="006441DF"/>
    <w:rsid w:val="00651299"/>
    <w:rsid w:val="00651FE1"/>
    <w:rsid w:val="00654DC9"/>
    <w:rsid w:val="00664D58"/>
    <w:rsid w:val="00670255"/>
    <w:rsid w:val="00670268"/>
    <w:rsid w:val="00670E57"/>
    <w:rsid w:val="00674925"/>
    <w:rsid w:val="00675FAB"/>
    <w:rsid w:val="00682E01"/>
    <w:rsid w:val="006914E0"/>
    <w:rsid w:val="0069302D"/>
    <w:rsid w:val="00695AD3"/>
    <w:rsid w:val="006A0DE8"/>
    <w:rsid w:val="006A4E9C"/>
    <w:rsid w:val="006A74B6"/>
    <w:rsid w:val="006B04CC"/>
    <w:rsid w:val="006B0F15"/>
    <w:rsid w:val="006B1A05"/>
    <w:rsid w:val="006B3349"/>
    <w:rsid w:val="006B5C96"/>
    <w:rsid w:val="006C282F"/>
    <w:rsid w:val="006C488A"/>
    <w:rsid w:val="006C6411"/>
    <w:rsid w:val="006C7830"/>
    <w:rsid w:val="006D1727"/>
    <w:rsid w:val="006D6F49"/>
    <w:rsid w:val="006E1801"/>
    <w:rsid w:val="006E2602"/>
    <w:rsid w:val="006E6B30"/>
    <w:rsid w:val="006E6E31"/>
    <w:rsid w:val="006E7F1E"/>
    <w:rsid w:val="006F0A43"/>
    <w:rsid w:val="006F457E"/>
    <w:rsid w:val="006F519F"/>
    <w:rsid w:val="006F5744"/>
    <w:rsid w:val="006F5BB7"/>
    <w:rsid w:val="006F5D1B"/>
    <w:rsid w:val="006F6290"/>
    <w:rsid w:val="006F6492"/>
    <w:rsid w:val="006F731B"/>
    <w:rsid w:val="00704CE6"/>
    <w:rsid w:val="007064B4"/>
    <w:rsid w:val="00710F53"/>
    <w:rsid w:val="00713B5C"/>
    <w:rsid w:val="00715359"/>
    <w:rsid w:val="00715D41"/>
    <w:rsid w:val="00721E4E"/>
    <w:rsid w:val="00725DD5"/>
    <w:rsid w:val="00727B8A"/>
    <w:rsid w:val="007303C1"/>
    <w:rsid w:val="00737DA9"/>
    <w:rsid w:val="0074076F"/>
    <w:rsid w:val="00742D92"/>
    <w:rsid w:val="00747206"/>
    <w:rsid w:val="007472FA"/>
    <w:rsid w:val="00753158"/>
    <w:rsid w:val="00755EBB"/>
    <w:rsid w:val="0075741A"/>
    <w:rsid w:val="0076025D"/>
    <w:rsid w:val="00760737"/>
    <w:rsid w:val="00761419"/>
    <w:rsid w:val="00762BAE"/>
    <w:rsid w:val="00763BBE"/>
    <w:rsid w:val="0076491B"/>
    <w:rsid w:val="00770AEE"/>
    <w:rsid w:val="00771048"/>
    <w:rsid w:val="007713BB"/>
    <w:rsid w:val="0077177C"/>
    <w:rsid w:val="00780B62"/>
    <w:rsid w:val="00780B83"/>
    <w:rsid w:val="00784177"/>
    <w:rsid w:val="007849DA"/>
    <w:rsid w:val="007869AD"/>
    <w:rsid w:val="00792E61"/>
    <w:rsid w:val="00794CD3"/>
    <w:rsid w:val="0079664A"/>
    <w:rsid w:val="007A032B"/>
    <w:rsid w:val="007A6C1C"/>
    <w:rsid w:val="007B1461"/>
    <w:rsid w:val="007B2AA9"/>
    <w:rsid w:val="007B5A9D"/>
    <w:rsid w:val="007B739E"/>
    <w:rsid w:val="007B7FF9"/>
    <w:rsid w:val="007C0CC6"/>
    <w:rsid w:val="007C2191"/>
    <w:rsid w:val="007C53B5"/>
    <w:rsid w:val="007C63F4"/>
    <w:rsid w:val="007C6FD6"/>
    <w:rsid w:val="007D1101"/>
    <w:rsid w:val="007D1976"/>
    <w:rsid w:val="007D28FD"/>
    <w:rsid w:val="007D6572"/>
    <w:rsid w:val="007D69E3"/>
    <w:rsid w:val="007E136D"/>
    <w:rsid w:val="007E2BBC"/>
    <w:rsid w:val="007E432B"/>
    <w:rsid w:val="007F5A49"/>
    <w:rsid w:val="008015E9"/>
    <w:rsid w:val="008037CA"/>
    <w:rsid w:val="0080633B"/>
    <w:rsid w:val="00820343"/>
    <w:rsid w:val="00820E85"/>
    <w:rsid w:val="00823E3A"/>
    <w:rsid w:val="00825643"/>
    <w:rsid w:val="008269EC"/>
    <w:rsid w:val="00833EAB"/>
    <w:rsid w:val="00837570"/>
    <w:rsid w:val="008378C7"/>
    <w:rsid w:val="00840105"/>
    <w:rsid w:val="0084486D"/>
    <w:rsid w:val="0084725C"/>
    <w:rsid w:val="008506C9"/>
    <w:rsid w:val="008514D1"/>
    <w:rsid w:val="00853E61"/>
    <w:rsid w:val="00856C98"/>
    <w:rsid w:val="00860533"/>
    <w:rsid w:val="00870E0B"/>
    <w:rsid w:val="008725DE"/>
    <w:rsid w:val="0087497C"/>
    <w:rsid w:val="00880B9C"/>
    <w:rsid w:val="00882D2E"/>
    <w:rsid w:val="00883F31"/>
    <w:rsid w:val="0088456F"/>
    <w:rsid w:val="00885389"/>
    <w:rsid w:val="00887E57"/>
    <w:rsid w:val="00891611"/>
    <w:rsid w:val="00891948"/>
    <w:rsid w:val="008931B5"/>
    <w:rsid w:val="00894CCB"/>
    <w:rsid w:val="008A13DE"/>
    <w:rsid w:val="008A3BD4"/>
    <w:rsid w:val="008B42A2"/>
    <w:rsid w:val="008C16FE"/>
    <w:rsid w:val="008C6A52"/>
    <w:rsid w:val="008C78D3"/>
    <w:rsid w:val="008C7F86"/>
    <w:rsid w:val="008D04D0"/>
    <w:rsid w:val="008D1EBD"/>
    <w:rsid w:val="008D27B9"/>
    <w:rsid w:val="008D6246"/>
    <w:rsid w:val="008D70E9"/>
    <w:rsid w:val="008E0487"/>
    <w:rsid w:val="008E275D"/>
    <w:rsid w:val="008E2BA2"/>
    <w:rsid w:val="008E31EC"/>
    <w:rsid w:val="008E51C4"/>
    <w:rsid w:val="008E728F"/>
    <w:rsid w:val="008F0445"/>
    <w:rsid w:val="008F2BD8"/>
    <w:rsid w:val="008F5B13"/>
    <w:rsid w:val="008F648B"/>
    <w:rsid w:val="008F7C91"/>
    <w:rsid w:val="00900B3B"/>
    <w:rsid w:val="00900FE5"/>
    <w:rsid w:val="00905AB7"/>
    <w:rsid w:val="009223C9"/>
    <w:rsid w:val="0093308E"/>
    <w:rsid w:val="00934C34"/>
    <w:rsid w:val="00936325"/>
    <w:rsid w:val="00940E53"/>
    <w:rsid w:val="00944F1F"/>
    <w:rsid w:val="00947751"/>
    <w:rsid w:val="00950BD7"/>
    <w:rsid w:val="00953FC2"/>
    <w:rsid w:val="00954CA7"/>
    <w:rsid w:val="0095515D"/>
    <w:rsid w:val="00957254"/>
    <w:rsid w:val="00957DD3"/>
    <w:rsid w:val="0096010D"/>
    <w:rsid w:val="00960122"/>
    <w:rsid w:val="0097034D"/>
    <w:rsid w:val="00971524"/>
    <w:rsid w:val="00972321"/>
    <w:rsid w:val="00972D0D"/>
    <w:rsid w:val="0099030F"/>
    <w:rsid w:val="009904C8"/>
    <w:rsid w:val="00991F3F"/>
    <w:rsid w:val="009930E3"/>
    <w:rsid w:val="00993ABC"/>
    <w:rsid w:val="00996131"/>
    <w:rsid w:val="00996527"/>
    <w:rsid w:val="00996DBB"/>
    <w:rsid w:val="009A6553"/>
    <w:rsid w:val="009A7CBA"/>
    <w:rsid w:val="009B0435"/>
    <w:rsid w:val="009B3FFA"/>
    <w:rsid w:val="009B7061"/>
    <w:rsid w:val="009C36A0"/>
    <w:rsid w:val="009C375B"/>
    <w:rsid w:val="009C54FC"/>
    <w:rsid w:val="009C7D21"/>
    <w:rsid w:val="009D0D9E"/>
    <w:rsid w:val="009E0202"/>
    <w:rsid w:val="009E0226"/>
    <w:rsid w:val="009E254C"/>
    <w:rsid w:val="009E3698"/>
    <w:rsid w:val="009F0049"/>
    <w:rsid w:val="009F055A"/>
    <w:rsid w:val="009F0D29"/>
    <w:rsid w:val="009F3F01"/>
    <w:rsid w:val="009F6CFD"/>
    <w:rsid w:val="00A0136B"/>
    <w:rsid w:val="00A01D72"/>
    <w:rsid w:val="00A02174"/>
    <w:rsid w:val="00A04A58"/>
    <w:rsid w:val="00A06ACA"/>
    <w:rsid w:val="00A06DAE"/>
    <w:rsid w:val="00A07BC6"/>
    <w:rsid w:val="00A10090"/>
    <w:rsid w:val="00A120BA"/>
    <w:rsid w:val="00A152BE"/>
    <w:rsid w:val="00A21BBD"/>
    <w:rsid w:val="00A21E10"/>
    <w:rsid w:val="00A22008"/>
    <w:rsid w:val="00A241DF"/>
    <w:rsid w:val="00A32277"/>
    <w:rsid w:val="00A338C2"/>
    <w:rsid w:val="00A354A0"/>
    <w:rsid w:val="00A3778B"/>
    <w:rsid w:val="00A377A0"/>
    <w:rsid w:val="00A403A7"/>
    <w:rsid w:val="00A40B5A"/>
    <w:rsid w:val="00A40BF3"/>
    <w:rsid w:val="00A41897"/>
    <w:rsid w:val="00A42347"/>
    <w:rsid w:val="00A4348B"/>
    <w:rsid w:val="00A44A25"/>
    <w:rsid w:val="00A65BA7"/>
    <w:rsid w:val="00A703A1"/>
    <w:rsid w:val="00A822E1"/>
    <w:rsid w:val="00A83D70"/>
    <w:rsid w:val="00A84A64"/>
    <w:rsid w:val="00A878D1"/>
    <w:rsid w:val="00A90DCE"/>
    <w:rsid w:val="00A929A4"/>
    <w:rsid w:val="00A93BC5"/>
    <w:rsid w:val="00A95142"/>
    <w:rsid w:val="00AA3222"/>
    <w:rsid w:val="00AA3EFB"/>
    <w:rsid w:val="00AA51E8"/>
    <w:rsid w:val="00AA55AB"/>
    <w:rsid w:val="00AA5B35"/>
    <w:rsid w:val="00AA75A8"/>
    <w:rsid w:val="00AA7B69"/>
    <w:rsid w:val="00AB3AFA"/>
    <w:rsid w:val="00AD0863"/>
    <w:rsid w:val="00AD0E3C"/>
    <w:rsid w:val="00AD229A"/>
    <w:rsid w:val="00AD3F5C"/>
    <w:rsid w:val="00AE1021"/>
    <w:rsid w:val="00AE2080"/>
    <w:rsid w:val="00AE4723"/>
    <w:rsid w:val="00AF6330"/>
    <w:rsid w:val="00B01D07"/>
    <w:rsid w:val="00B11D24"/>
    <w:rsid w:val="00B156D1"/>
    <w:rsid w:val="00B21AF9"/>
    <w:rsid w:val="00B23159"/>
    <w:rsid w:val="00B247E3"/>
    <w:rsid w:val="00B24ED8"/>
    <w:rsid w:val="00B25D89"/>
    <w:rsid w:val="00B26623"/>
    <w:rsid w:val="00B27985"/>
    <w:rsid w:val="00B3038B"/>
    <w:rsid w:val="00B30998"/>
    <w:rsid w:val="00B31E2F"/>
    <w:rsid w:val="00B32EF1"/>
    <w:rsid w:val="00B33C49"/>
    <w:rsid w:val="00B36536"/>
    <w:rsid w:val="00B368C7"/>
    <w:rsid w:val="00B37395"/>
    <w:rsid w:val="00B4223C"/>
    <w:rsid w:val="00B427FA"/>
    <w:rsid w:val="00B512F4"/>
    <w:rsid w:val="00B52117"/>
    <w:rsid w:val="00B52B29"/>
    <w:rsid w:val="00B60FBF"/>
    <w:rsid w:val="00B661D0"/>
    <w:rsid w:val="00B668D0"/>
    <w:rsid w:val="00B725E5"/>
    <w:rsid w:val="00B733DF"/>
    <w:rsid w:val="00B769D0"/>
    <w:rsid w:val="00B8007A"/>
    <w:rsid w:val="00B81B46"/>
    <w:rsid w:val="00B905C4"/>
    <w:rsid w:val="00B91186"/>
    <w:rsid w:val="00B92474"/>
    <w:rsid w:val="00B92D2F"/>
    <w:rsid w:val="00BA0497"/>
    <w:rsid w:val="00BA127B"/>
    <w:rsid w:val="00BA34DD"/>
    <w:rsid w:val="00BA3B86"/>
    <w:rsid w:val="00BA5BE8"/>
    <w:rsid w:val="00BB2CF3"/>
    <w:rsid w:val="00BB77BA"/>
    <w:rsid w:val="00BC16DE"/>
    <w:rsid w:val="00BC3281"/>
    <w:rsid w:val="00BD38E3"/>
    <w:rsid w:val="00BE0463"/>
    <w:rsid w:val="00BE3000"/>
    <w:rsid w:val="00BE68F8"/>
    <w:rsid w:val="00BE70B4"/>
    <w:rsid w:val="00BE7E38"/>
    <w:rsid w:val="00BF027D"/>
    <w:rsid w:val="00BF43BF"/>
    <w:rsid w:val="00BF51FD"/>
    <w:rsid w:val="00BF694D"/>
    <w:rsid w:val="00C021EA"/>
    <w:rsid w:val="00C025E6"/>
    <w:rsid w:val="00C042C4"/>
    <w:rsid w:val="00C06803"/>
    <w:rsid w:val="00C06997"/>
    <w:rsid w:val="00C10045"/>
    <w:rsid w:val="00C10E43"/>
    <w:rsid w:val="00C11097"/>
    <w:rsid w:val="00C144D6"/>
    <w:rsid w:val="00C17D86"/>
    <w:rsid w:val="00C17F1B"/>
    <w:rsid w:val="00C21253"/>
    <w:rsid w:val="00C2196D"/>
    <w:rsid w:val="00C262FB"/>
    <w:rsid w:val="00C33397"/>
    <w:rsid w:val="00C33BED"/>
    <w:rsid w:val="00C350F7"/>
    <w:rsid w:val="00C35D8C"/>
    <w:rsid w:val="00C36DAE"/>
    <w:rsid w:val="00C42261"/>
    <w:rsid w:val="00C47AD7"/>
    <w:rsid w:val="00C510DB"/>
    <w:rsid w:val="00C6024F"/>
    <w:rsid w:val="00C616BA"/>
    <w:rsid w:val="00C6235B"/>
    <w:rsid w:val="00C633DE"/>
    <w:rsid w:val="00C63D06"/>
    <w:rsid w:val="00C65485"/>
    <w:rsid w:val="00C72CE7"/>
    <w:rsid w:val="00C7331E"/>
    <w:rsid w:val="00C74FDF"/>
    <w:rsid w:val="00C751B6"/>
    <w:rsid w:val="00C82AF8"/>
    <w:rsid w:val="00C839FA"/>
    <w:rsid w:val="00C93570"/>
    <w:rsid w:val="00CA1C23"/>
    <w:rsid w:val="00CA3DE1"/>
    <w:rsid w:val="00CB3B20"/>
    <w:rsid w:val="00CB441C"/>
    <w:rsid w:val="00CB5FA1"/>
    <w:rsid w:val="00CC357C"/>
    <w:rsid w:val="00CC3FCB"/>
    <w:rsid w:val="00CC5393"/>
    <w:rsid w:val="00CC7A14"/>
    <w:rsid w:val="00CD314D"/>
    <w:rsid w:val="00CD5584"/>
    <w:rsid w:val="00CE089D"/>
    <w:rsid w:val="00CE1417"/>
    <w:rsid w:val="00CE3CF9"/>
    <w:rsid w:val="00CE3FBF"/>
    <w:rsid w:val="00CE4F64"/>
    <w:rsid w:val="00CE5593"/>
    <w:rsid w:val="00CE5682"/>
    <w:rsid w:val="00CE7157"/>
    <w:rsid w:val="00CF3FC8"/>
    <w:rsid w:val="00CF695C"/>
    <w:rsid w:val="00CF6CCE"/>
    <w:rsid w:val="00CF6CED"/>
    <w:rsid w:val="00D01101"/>
    <w:rsid w:val="00D01F3A"/>
    <w:rsid w:val="00D021B7"/>
    <w:rsid w:val="00D05B4B"/>
    <w:rsid w:val="00D06280"/>
    <w:rsid w:val="00D127ED"/>
    <w:rsid w:val="00D147B0"/>
    <w:rsid w:val="00D15833"/>
    <w:rsid w:val="00D20628"/>
    <w:rsid w:val="00D22B72"/>
    <w:rsid w:val="00D255E6"/>
    <w:rsid w:val="00D2642F"/>
    <w:rsid w:val="00D27331"/>
    <w:rsid w:val="00D30B0A"/>
    <w:rsid w:val="00D3656B"/>
    <w:rsid w:val="00D40436"/>
    <w:rsid w:val="00D46B15"/>
    <w:rsid w:val="00D4724A"/>
    <w:rsid w:val="00D51133"/>
    <w:rsid w:val="00D520E1"/>
    <w:rsid w:val="00D52A16"/>
    <w:rsid w:val="00D52C15"/>
    <w:rsid w:val="00D52F85"/>
    <w:rsid w:val="00D61E42"/>
    <w:rsid w:val="00D61F74"/>
    <w:rsid w:val="00D629DC"/>
    <w:rsid w:val="00D66031"/>
    <w:rsid w:val="00D670D5"/>
    <w:rsid w:val="00D67272"/>
    <w:rsid w:val="00D81979"/>
    <w:rsid w:val="00D820E0"/>
    <w:rsid w:val="00D84107"/>
    <w:rsid w:val="00D85F31"/>
    <w:rsid w:val="00D86FEE"/>
    <w:rsid w:val="00D9124D"/>
    <w:rsid w:val="00D9423F"/>
    <w:rsid w:val="00D97B78"/>
    <w:rsid w:val="00DA38FB"/>
    <w:rsid w:val="00DA3EF5"/>
    <w:rsid w:val="00DA4B68"/>
    <w:rsid w:val="00DA7E4A"/>
    <w:rsid w:val="00DB2384"/>
    <w:rsid w:val="00DB3264"/>
    <w:rsid w:val="00DB4249"/>
    <w:rsid w:val="00DB66AF"/>
    <w:rsid w:val="00DC232D"/>
    <w:rsid w:val="00DC24FF"/>
    <w:rsid w:val="00DC3FF7"/>
    <w:rsid w:val="00DC7711"/>
    <w:rsid w:val="00DD4F37"/>
    <w:rsid w:val="00DD4F97"/>
    <w:rsid w:val="00DD7824"/>
    <w:rsid w:val="00DE02A3"/>
    <w:rsid w:val="00DE03D9"/>
    <w:rsid w:val="00DE3814"/>
    <w:rsid w:val="00DE3B09"/>
    <w:rsid w:val="00DE7FCD"/>
    <w:rsid w:val="00DF2461"/>
    <w:rsid w:val="00DF5263"/>
    <w:rsid w:val="00DF538F"/>
    <w:rsid w:val="00E04905"/>
    <w:rsid w:val="00E12B94"/>
    <w:rsid w:val="00E16D30"/>
    <w:rsid w:val="00E1779A"/>
    <w:rsid w:val="00E253D2"/>
    <w:rsid w:val="00E25A1A"/>
    <w:rsid w:val="00E25E21"/>
    <w:rsid w:val="00E26527"/>
    <w:rsid w:val="00E268F2"/>
    <w:rsid w:val="00E32300"/>
    <w:rsid w:val="00E36453"/>
    <w:rsid w:val="00E37037"/>
    <w:rsid w:val="00E442F0"/>
    <w:rsid w:val="00E447BA"/>
    <w:rsid w:val="00E46E83"/>
    <w:rsid w:val="00E47E21"/>
    <w:rsid w:val="00E51076"/>
    <w:rsid w:val="00E5162A"/>
    <w:rsid w:val="00E51A71"/>
    <w:rsid w:val="00E51B42"/>
    <w:rsid w:val="00E64002"/>
    <w:rsid w:val="00E66DAE"/>
    <w:rsid w:val="00E75BBE"/>
    <w:rsid w:val="00E76AA4"/>
    <w:rsid w:val="00E84CBD"/>
    <w:rsid w:val="00E92A7A"/>
    <w:rsid w:val="00E92D96"/>
    <w:rsid w:val="00E9411D"/>
    <w:rsid w:val="00E945A2"/>
    <w:rsid w:val="00E96141"/>
    <w:rsid w:val="00E96679"/>
    <w:rsid w:val="00E96FB9"/>
    <w:rsid w:val="00EA65D6"/>
    <w:rsid w:val="00EA6A37"/>
    <w:rsid w:val="00EB2624"/>
    <w:rsid w:val="00EB6119"/>
    <w:rsid w:val="00EB6DC7"/>
    <w:rsid w:val="00EC0B92"/>
    <w:rsid w:val="00EC293E"/>
    <w:rsid w:val="00EC4DE3"/>
    <w:rsid w:val="00EE3644"/>
    <w:rsid w:val="00EE4BD7"/>
    <w:rsid w:val="00EE4EAB"/>
    <w:rsid w:val="00EF53B2"/>
    <w:rsid w:val="00EF7262"/>
    <w:rsid w:val="00F00264"/>
    <w:rsid w:val="00F03941"/>
    <w:rsid w:val="00F110EC"/>
    <w:rsid w:val="00F12759"/>
    <w:rsid w:val="00F13758"/>
    <w:rsid w:val="00F15A2A"/>
    <w:rsid w:val="00F27652"/>
    <w:rsid w:val="00F404CE"/>
    <w:rsid w:val="00F44062"/>
    <w:rsid w:val="00F46398"/>
    <w:rsid w:val="00F50045"/>
    <w:rsid w:val="00F518AE"/>
    <w:rsid w:val="00F5474F"/>
    <w:rsid w:val="00F54906"/>
    <w:rsid w:val="00F55668"/>
    <w:rsid w:val="00F5578D"/>
    <w:rsid w:val="00F6191C"/>
    <w:rsid w:val="00F62C20"/>
    <w:rsid w:val="00F63A94"/>
    <w:rsid w:val="00F666BA"/>
    <w:rsid w:val="00F72C76"/>
    <w:rsid w:val="00F73427"/>
    <w:rsid w:val="00F7385E"/>
    <w:rsid w:val="00F76EF6"/>
    <w:rsid w:val="00F8035D"/>
    <w:rsid w:val="00F817A2"/>
    <w:rsid w:val="00F84EFE"/>
    <w:rsid w:val="00F95261"/>
    <w:rsid w:val="00F954EB"/>
    <w:rsid w:val="00FA0324"/>
    <w:rsid w:val="00FA11A7"/>
    <w:rsid w:val="00FA31BE"/>
    <w:rsid w:val="00FA5262"/>
    <w:rsid w:val="00FB11B4"/>
    <w:rsid w:val="00FB125B"/>
    <w:rsid w:val="00FB38C1"/>
    <w:rsid w:val="00FB3F28"/>
    <w:rsid w:val="00FC18A0"/>
    <w:rsid w:val="00FC208A"/>
    <w:rsid w:val="00FD2922"/>
    <w:rsid w:val="00FD6E6E"/>
    <w:rsid w:val="00FE12CD"/>
    <w:rsid w:val="00FE324B"/>
    <w:rsid w:val="00FE599A"/>
    <w:rsid w:val="00FF0004"/>
    <w:rsid w:val="00FF0527"/>
    <w:rsid w:val="00FF6074"/>
    <w:rsid w:val="00FF7107"/>
    <w:rsid w:val="2D7B2D73"/>
    <w:rsid w:val="445467A2"/>
    <w:rsid w:val="448F45FC"/>
  </w:rsids>
  <m:mathPr>
    <m:mathFont m:val="Cambria Math"/>
    <m:brkBin m:val="before"/>
    <m:brkBinSub m:val="--"/>
    <m:smallFrac m:val="0"/>
    <m:dispDef m:val="0"/>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AC6A39D"/>
  <w15:docId w15:val="{AB89653C-742C-498C-82F4-FB5689C46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99"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97274"/>
    <w:rPr>
      <w:rFonts w:ascii="Cambria" w:hAnsi="Cambria" w:cs="Cambria"/>
      <w:sz w:val="24"/>
      <w:szCs w:val="24"/>
      <w:lang w:val="en-US" w:eastAsia="en-US"/>
    </w:rPr>
  </w:style>
  <w:style w:type="paragraph" w:styleId="Heading1">
    <w:name w:val="heading 1"/>
    <w:basedOn w:val="Normal"/>
    <w:next w:val="Normal"/>
    <w:qFormat/>
    <w:pPr>
      <w:keepNext/>
      <w:tabs>
        <w:tab w:val="left" w:pos="4500"/>
        <w:tab w:val="left" w:pos="9900"/>
      </w:tabs>
      <w:ind w:right="-180"/>
      <w:outlineLvl w:val="0"/>
    </w:pPr>
    <w:rPr>
      <w:rFonts w:ascii="Times New Roman" w:hAnsi="Times New Roman" w:cs="Times New Roman"/>
      <w:sz w:val="16"/>
      <w:u w:val="single"/>
      <w:lang w:val="de-DE" w:eastAsia="de-DE"/>
    </w:rPr>
  </w:style>
  <w:style w:type="paragraph" w:styleId="Heading2">
    <w:name w:val="heading 2"/>
    <w:basedOn w:val="Normal"/>
    <w:next w:val="Normal"/>
    <w:qFormat/>
    <w:pPr>
      <w:keepNext/>
      <w:tabs>
        <w:tab w:val="left" w:pos="4500"/>
      </w:tabs>
      <w:ind w:right="180"/>
      <w:outlineLvl w:val="1"/>
    </w:pPr>
    <w:rPr>
      <w:rFonts w:ascii="Times New Roman" w:hAnsi="Times New Roman" w:cs="Times New Roman"/>
      <w:sz w:val="16"/>
      <w:u w:val="single"/>
      <w:lang w:val="de-DE" w:eastAsia="de-DE"/>
    </w:rPr>
  </w:style>
  <w:style w:type="paragraph" w:styleId="Heading4">
    <w:name w:val="heading 4"/>
    <w:basedOn w:val="Normal"/>
    <w:next w:val="Normal"/>
    <w:link w:val="Heading4Char"/>
    <w:semiHidden/>
    <w:unhideWhenUsed/>
    <w:qFormat/>
    <w:rsid w:val="00B60FBF"/>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36"/>
        <w:tab w:val="right" w:pos="9072"/>
      </w:tabs>
    </w:pPr>
    <w:rPr>
      <w:rFonts w:ascii="Times New Roman" w:hAnsi="Times New Roman" w:cs="Times New Roman"/>
      <w:lang w:val="de-DE" w:eastAsia="de-DE"/>
    </w:rPr>
  </w:style>
  <w:style w:type="paragraph" w:styleId="Footer">
    <w:name w:val="footer"/>
    <w:basedOn w:val="Normal"/>
    <w:pPr>
      <w:tabs>
        <w:tab w:val="center" w:pos="4536"/>
        <w:tab w:val="right" w:pos="9072"/>
      </w:tabs>
    </w:pPr>
    <w:rPr>
      <w:rFonts w:ascii="Times New Roman" w:hAnsi="Times New Roman" w:cs="Times New Roman"/>
      <w:lang w:val="de-DE" w:eastAsia="de-DE"/>
    </w:rPr>
  </w:style>
  <w:style w:type="character" w:styleId="PageNumber">
    <w:name w:val="page number"/>
    <w:basedOn w:val="DefaultParagraphFont"/>
  </w:style>
  <w:style w:type="paragraph" w:customStyle="1" w:styleId="Default">
    <w:name w:val="Default"/>
    <w:rsid w:val="00497274"/>
    <w:pPr>
      <w:widowControl w:val="0"/>
      <w:autoSpaceDE w:val="0"/>
      <w:autoSpaceDN w:val="0"/>
      <w:adjustRightInd w:val="0"/>
    </w:pPr>
    <w:rPr>
      <w:rFonts w:ascii="VAG Rounded Light" w:hAnsi="VAG Rounded Light" w:cs="VAG Rounded Light"/>
      <w:color w:val="000000"/>
      <w:sz w:val="24"/>
      <w:szCs w:val="24"/>
      <w:lang w:val="en-US" w:eastAsia="en-US"/>
    </w:rPr>
  </w:style>
  <w:style w:type="character" w:styleId="Hyperlink">
    <w:name w:val="Hyperlink"/>
    <w:uiPriority w:val="99"/>
    <w:unhideWhenUsed/>
    <w:rsid w:val="00497274"/>
    <w:rPr>
      <w:color w:val="0000FF"/>
      <w:u w:val="single"/>
    </w:rPr>
  </w:style>
  <w:style w:type="paragraph" w:styleId="BalloonText">
    <w:name w:val="Balloon Text"/>
    <w:basedOn w:val="Normal"/>
    <w:link w:val="BalloonTextChar"/>
    <w:rsid w:val="00F5474F"/>
    <w:rPr>
      <w:rFonts w:ascii="Tahoma" w:hAnsi="Tahoma" w:cs="Tahoma"/>
      <w:sz w:val="16"/>
      <w:szCs w:val="16"/>
    </w:rPr>
  </w:style>
  <w:style w:type="character" w:customStyle="1" w:styleId="BalloonTextChar">
    <w:name w:val="Balloon Text Char"/>
    <w:basedOn w:val="DefaultParagraphFont"/>
    <w:link w:val="BalloonText"/>
    <w:rsid w:val="00F5474F"/>
    <w:rPr>
      <w:rFonts w:ascii="Tahoma" w:hAnsi="Tahoma" w:cs="Tahoma"/>
      <w:sz w:val="16"/>
      <w:szCs w:val="16"/>
      <w:lang w:val="en-US" w:eastAsia="en-US"/>
    </w:rPr>
  </w:style>
  <w:style w:type="character" w:styleId="CommentReference">
    <w:name w:val="annotation reference"/>
    <w:basedOn w:val="DefaultParagraphFont"/>
    <w:semiHidden/>
    <w:unhideWhenUsed/>
    <w:rsid w:val="00763BBE"/>
    <w:rPr>
      <w:sz w:val="16"/>
      <w:szCs w:val="16"/>
    </w:rPr>
  </w:style>
  <w:style w:type="paragraph" w:styleId="CommentText">
    <w:name w:val="annotation text"/>
    <w:basedOn w:val="Normal"/>
    <w:link w:val="CommentTextChar"/>
    <w:unhideWhenUsed/>
    <w:rsid w:val="00763BBE"/>
    <w:rPr>
      <w:sz w:val="20"/>
      <w:szCs w:val="20"/>
    </w:rPr>
  </w:style>
  <w:style w:type="character" w:customStyle="1" w:styleId="CommentTextChar">
    <w:name w:val="Comment Text Char"/>
    <w:basedOn w:val="DefaultParagraphFont"/>
    <w:link w:val="CommentText"/>
    <w:rsid w:val="00763BBE"/>
    <w:rPr>
      <w:rFonts w:ascii="Cambria" w:hAnsi="Cambria" w:cs="Cambria"/>
      <w:lang w:val="en-US" w:eastAsia="en-US"/>
    </w:rPr>
  </w:style>
  <w:style w:type="paragraph" w:styleId="CommentSubject">
    <w:name w:val="annotation subject"/>
    <w:basedOn w:val="CommentText"/>
    <w:next w:val="CommentText"/>
    <w:link w:val="CommentSubjectChar"/>
    <w:semiHidden/>
    <w:unhideWhenUsed/>
    <w:rsid w:val="00763BBE"/>
    <w:rPr>
      <w:b/>
      <w:bCs/>
    </w:rPr>
  </w:style>
  <w:style w:type="character" w:customStyle="1" w:styleId="CommentSubjectChar">
    <w:name w:val="Comment Subject Char"/>
    <w:basedOn w:val="CommentTextChar"/>
    <w:link w:val="CommentSubject"/>
    <w:semiHidden/>
    <w:rsid w:val="00763BBE"/>
    <w:rPr>
      <w:rFonts w:ascii="Cambria" w:hAnsi="Cambria" w:cs="Cambria"/>
      <w:b/>
      <w:bCs/>
      <w:lang w:val="en-US" w:eastAsia="en-US"/>
    </w:rPr>
  </w:style>
  <w:style w:type="character" w:customStyle="1" w:styleId="Heading4Char">
    <w:name w:val="Heading 4 Char"/>
    <w:basedOn w:val="DefaultParagraphFont"/>
    <w:link w:val="Heading4"/>
    <w:semiHidden/>
    <w:rsid w:val="00B60FBF"/>
    <w:rPr>
      <w:rFonts w:asciiTheme="majorHAnsi" w:eastAsiaTheme="majorEastAsia" w:hAnsiTheme="majorHAnsi" w:cstheme="majorBidi"/>
      <w:i/>
      <w:iCs/>
      <w:color w:val="365F91" w:themeColor="accent1" w:themeShade="BF"/>
      <w:sz w:val="24"/>
      <w:szCs w:val="24"/>
      <w:lang w:val="en-US" w:eastAsia="en-US"/>
    </w:rPr>
  </w:style>
  <w:style w:type="paragraph" w:styleId="ListParagraph">
    <w:name w:val="List Paragraph"/>
    <w:basedOn w:val="Normal"/>
    <w:uiPriority w:val="99"/>
    <w:qFormat/>
    <w:rsid w:val="00B21AF9"/>
    <w:pPr>
      <w:ind w:left="720"/>
      <w:contextualSpacing/>
    </w:pPr>
  </w:style>
  <w:style w:type="character" w:styleId="FollowedHyperlink">
    <w:name w:val="FollowedHyperlink"/>
    <w:basedOn w:val="DefaultParagraphFont"/>
    <w:semiHidden/>
    <w:unhideWhenUsed/>
    <w:rsid w:val="00C021EA"/>
    <w:rPr>
      <w:color w:val="800080" w:themeColor="followedHyperlink"/>
      <w:u w:val="single"/>
    </w:rPr>
  </w:style>
  <w:style w:type="paragraph" w:styleId="Revision">
    <w:name w:val="Revision"/>
    <w:hidden/>
    <w:semiHidden/>
    <w:rsid w:val="00BA3B86"/>
    <w:rPr>
      <w:rFonts w:ascii="Cambria" w:hAnsi="Cambria" w:cs="Cambria"/>
      <w:sz w:val="24"/>
      <w:szCs w:val="24"/>
      <w:lang w:val="en-US" w:eastAsia="en-US"/>
    </w:rPr>
  </w:style>
  <w:style w:type="paragraph" w:customStyle="1" w:styleId="Text">
    <w:name w:val="Text"/>
    <w:rsid w:val="00713B5C"/>
    <w:rPr>
      <w:rFonts w:ascii="Avenir Book" w:eastAsia="Arial Unicode MS" w:hAnsi="Avenir Book" w:cs="Arial Unicode MS"/>
      <w:color w:val="000000"/>
      <w:sz w:val="24"/>
      <w:szCs w:val="24"/>
    </w:rPr>
  </w:style>
  <w:style w:type="paragraph" w:customStyle="1" w:styleId="xxmsolistparagraph">
    <w:name w:val="x_x_msolistparagraph"/>
    <w:basedOn w:val="Normal"/>
    <w:rsid w:val="00163CC2"/>
    <w:pPr>
      <w:spacing w:before="100" w:beforeAutospacing="1" w:after="100" w:afterAutospacing="1"/>
    </w:pPr>
    <w:rPr>
      <w:rFonts w:ascii="Times New Roman" w:hAnsi="Times New Roman" w:cs="Times New Roman"/>
      <w:lang w:val="de-DE" w:eastAsia="de-DE"/>
    </w:rPr>
  </w:style>
  <w:style w:type="paragraph" w:customStyle="1" w:styleId="xxmsonormal">
    <w:name w:val="x_x_msonormal"/>
    <w:basedOn w:val="Normal"/>
    <w:rsid w:val="00163CC2"/>
    <w:pPr>
      <w:spacing w:before="100" w:beforeAutospacing="1" w:after="100" w:afterAutospacing="1"/>
    </w:pPr>
    <w:rPr>
      <w:rFonts w:ascii="Times New Roman" w:hAnsi="Times New Roman" w:cs="Times New Roman"/>
      <w:lang w:val="de-DE" w:eastAsia="de-DE"/>
    </w:rPr>
  </w:style>
  <w:style w:type="character" w:customStyle="1" w:styleId="NichtaufgelsteErwhnung1">
    <w:name w:val="Nicht aufgelöste Erwähnung1"/>
    <w:basedOn w:val="DefaultParagraphFont"/>
    <w:uiPriority w:val="99"/>
    <w:unhideWhenUsed/>
    <w:rsid w:val="00CF6CED"/>
    <w:rPr>
      <w:color w:val="605E5C"/>
      <w:shd w:val="clear" w:color="auto" w:fill="E1DFDD"/>
    </w:rPr>
  </w:style>
  <w:style w:type="character" w:customStyle="1" w:styleId="Erwhnung1">
    <w:name w:val="Erwähnung1"/>
    <w:basedOn w:val="DefaultParagraphFont"/>
    <w:uiPriority w:val="99"/>
    <w:unhideWhenUsed/>
    <w:rsid w:val="00CF6CED"/>
    <w:rPr>
      <w:color w:val="2B579A"/>
      <w:shd w:val="clear" w:color="auto" w:fill="E1DFDD"/>
    </w:rPr>
  </w:style>
  <w:style w:type="table" w:styleId="TableGrid">
    <w:name w:val="Table Grid"/>
    <w:basedOn w:val="TableNormal"/>
    <w:rsid w:val="007E13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TableNormal"/>
    <w:next w:val="TableGrid"/>
    <w:uiPriority w:val="39"/>
    <w:rsid w:val="007E136D"/>
    <w:pPr>
      <w:pBdr>
        <w:top w:val="nil"/>
        <w:left w:val="nil"/>
        <w:bottom w:val="nil"/>
        <w:right w:val="nil"/>
        <w:between w:val="nil"/>
        <w:bar w:val="nil"/>
      </w:pBdr>
    </w:pPr>
    <w:rPr>
      <w:rFonts w:eastAsia="Arial Unicode MS"/>
      <w:bdr w:val="n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TableNormal"/>
    <w:next w:val="TableGrid"/>
    <w:uiPriority w:val="59"/>
    <w:rsid w:val="008C16FE"/>
    <w:rPr>
      <w:rFonts w:ascii="Cambria" w:eastAsia="MS Mincho" w:hAnsi="Cambr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unhideWhenUsed/>
    <w:rsid w:val="00A0136B"/>
    <w:rPr>
      <w:color w:val="605E5C"/>
      <w:shd w:val="clear" w:color="auto" w:fill="E1DFDD"/>
    </w:rPr>
  </w:style>
  <w:style w:type="character" w:styleId="Mention">
    <w:name w:val="Mention"/>
    <w:basedOn w:val="DefaultParagraphFont"/>
    <w:uiPriority w:val="99"/>
    <w:unhideWhenUsed/>
    <w:rsid w:val="00A0136B"/>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719054">
      <w:bodyDiv w:val="1"/>
      <w:marLeft w:val="0"/>
      <w:marRight w:val="0"/>
      <w:marTop w:val="0"/>
      <w:marBottom w:val="0"/>
      <w:divBdr>
        <w:top w:val="none" w:sz="0" w:space="0" w:color="auto"/>
        <w:left w:val="none" w:sz="0" w:space="0" w:color="auto"/>
        <w:bottom w:val="none" w:sz="0" w:space="0" w:color="auto"/>
        <w:right w:val="none" w:sz="0" w:space="0" w:color="auto"/>
      </w:divBdr>
    </w:div>
    <w:div w:id="447510003">
      <w:bodyDiv w:val="1"/>
      <w:marLeft w:val="0"/>
      <w:marRight w:val="0"/>
      <w:marTop w:val="0"/>
      <w:marBottom w:val="0"/>
      <w:divBdr>
        <w:top w:val="none" w:sz="0" w:space="0" w:color="auto"/>
        <w:left w:val="none" w:sz="0" w:space="0" w:color="auto"/>
        <w:bottom w:val="none" w:sz="0" w:space="0" w:color="auto"/>
        <w:right w:val="none" w:sz="0" w:space="0" w:color="auto"/>
      </w:divBdr>
    </w:div>
    <w:div w:id="449472620">
      <w:bodyDiv w:val="1"/>
      <w:marLeft w:val="0"/>
      <w:marRight w:val="0"/>
      <w:marTop w:val="0"/>
      <w:marBottom w:val="0"/>
      <w:divBdr>
        <w:top w:val="none" w:sz="0" w:space="0" w:color="auto"/>
        <w:left w:val="none" w:sz="0" w:space="0" w:color="auto"/>
        <w:bottom w:val="none" w:sz="0" w:space="0" w:color="auto"/>
        <w:right w:val="none" w:sz="0" w:space="0" w:color="auto"/>
      </w:divBdr>
    </w:div>
    <w:div w:id="465438993">
      <w:bodyDiv w:val="1"/>
      <w:marLeft w:val="0"/>
      <w:marRight w:val="0"/>
      <w:marTop w:val="0"/>
      <w:marBottom w:val="0"/>
      <w:divBdr>
        <w:top w:val="none" w:sz="0" w:space="0" w:color="auto"/>
        <w:left w:val="none" w:sz="0" w:space="0" w:color="auto"/>
        <w:bottom w:val="none" w:sz="0" w:space="0" w:color="auto"/>
        <w:right w:val="none" w:sz="0" w:space="0" w:color="auto"/>
      </w:divBdr>
    </w:div>
    <w:div w:id="498928631">
      <w:bodyDiv w:val="1"/>
      <w:marLeft w:val="0"/>
      <w:marRight w:val="0"/>
      <w:marTop w:val="0"/>
      <w:marBottom w:val="0"/>
      <w:divBdr>
        <w:top w:val="none" w:sz="0" w:space="0" w:color="auto"/>
        <w:left w:val="none" w:sz="0" w:space="0" w:color="auto"/>
        <w:bottom w:val="none" w:sz="0" w:space="0" w:color="auto"/>
        <w:right w:val="none" w:sz="0" w:space="0" w:color="auto"/>
      </w:divBdr>
    </w:div>
    <w:div w:id="660276689">
      <w:bodyDiv w:val="1"/>
      <w:marLeft w:val="0"/>
      <w:marRight w:val="0"/>
      <w:marTop w:val="0"/>
      <w:marBottom w:val="0"/>
      <w:divBdr>
        <w:top w:val="none" w:sz="0" w:space="0" w:color="auto"/>
        <w:left w:val="none" w:sz="0" w:space="0" w:color="auto"/>
        <w:bottom w:val="none" w:sz="0" w:space="0" w:color="auto"/>
        <w:right w:val="none" w:sz="0" w:space="0" w:color="auto"/>
      </w:divBdr>
    </w:div>
    <w:div w:id="839780346">
      <w:bodyDiv w:val="1"/>
      <w:marLeft w:val="0"/>
      <w:marRight w:val="0"/>
      <w:marTop w:val="0"/>
      <w:marBottom w:val="0"/>
      <w:divBdr>
        <w:top w:val="none" w:sz="0" w:space="0" w:color="auto"/>
        <w:left w:val="none" w:sz="0" w:space="0" w:color="auto"/>
        <w:bottom w:val="none" w:sz="0" w:space="0" w:color="auto"/>
        <w:right w:val="none" w:sz="0" w:space="0" w:color="auto"/>
      </w:divBdr>
      <w:divsChild>
        <w:div w:id="60912963">
          <w:marLeft w:val="0"/>
          <w:marRight w:val="0"/>
          <w:marTop w:val="0"/>
          <w:marBottom w:val="0"/>
          <w:divBdr>
            <w:top w:val="none" w:sz="0" w:space="0" w:color="auto"/>
            <w:left w:val="none" w:sz="0" w:space="0" w:color="auto"/>
            <w:bottom w:val="none" w:sz="0" w:space="0" w:color="auto"/>
            <w:right w:val="none" w:sz="0" w:space="0" w:color="auto"/>
          </w:divBdr>
          <w:divsChild>
            <w:div w:id="16286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969092">
      <w:bodyDiv w:val="1"/>
      <w:marLeft w:val="0"/>
      <w:marRight w:val="0"/>
      <w:marTop w:val="0"/>
      <w:marBottom w:val="0"/>
      <w:divBdr>
        <w:top w:val="none" w:sz="0" w:space="0" w:color="auto"/>
        <w:left w:val="none" w:sz="0" w:space="0" w:color="auto"/>
        <w:bottom w:val="none" w:sz="0" w:space="0" w:color="auto"/>
        <w:right w:val="none" w:sz="0" w:space="0" w:color="auto"/>
      </w:divBdr>
    </w:div>
    <w:div w:id="904611577">
      <w:bodyDiv w:val="1"/>
      <w:marLeft w:val="0"/>
      <w:marRight w:val="0"/>
      <w:marTop w:val="0"/>
      <w:marBottom w:val="0"/>
      <w:divBdr>
        <w:top w:val="none" w:sz="0" w:space="0" w:color="auto"/>
        <w:left w:val="none" w:sz="0" w:space="0" w:color="auto"/>
        <w:bottom w:val="none" w:sz="0" w:space="0" w:color="auto"/>
        <w:right w:val="none" w:sz="0" w:space="0" w:color="auto"/>
      </w:divBdr>
    </w:div>
    <w:div w:id="983201197">
      <w:bodyDiv w:val="1"/>
      <w:marLeft w:val="0"/>
      <w:marRight w:val="0"/>
      <w:marTop w:val="0"/>
      <w:marBottom w:val="0"/>
      <w:divBdr>
        <w:top w:val="none" w:sz="0" w:space="0" w:color="auto"/>
        <w:left w:val="none" w:sz="0" w:space="0" w:color="auto"/>
        <w:bottom w:val="none" w:sz="0" w:space="0" w:color="auto"/>
        <w:right w:val="none" w:sz="0" w:space="0" w:color="auto"/>
      </w:divBdr>
    </w:div>
    <w:div w:id="1183788899">
      <w:bodyDiv w:val="1"/>
      <w:marLeft w:val="0"/>
      <w:marRight w:val="0"/>
      <w:marTop w:val="0"/>
      <w:marBottom w:val="0"/>
      <w:divBdr>
        <w:top w:val="none" w:sz="0" w:space="0" w:color="auto"/>
        <w:left w:val="none" w:sz="0" w:space="0" w:color="auto"/>
        <w:bottom w:val="none" w:sz="0" w:space="0" w:color="auto"/>
        <w:right w:val="none" w:sz="0" w:space="0" w:color="auto"/>
      </w:divBdr>
    </w:div>
    <w:div w:id="1232623099">
      <w:bodyDiv w:val="1"/>
      <w:marLeft w:val="0"/>
      <w:marRight w:val="0"/>
      <w:marTop w:val="0"/>
      <w:marBottom w:val="0"/>
      <w:divBdr>
        <w:top w:val="none" w:sz="0" w:space="0" w:color="auto"/>
        <w:left w:val="none" w:sz="0" w:space="0" w:color="auto"/>
        <w:bottom w:val="none" w:sz="0" w:space="0" w:color="auto"/>
        <w:right w:val="none" w:sz="0" w:space="0" w:color="auto"/>
      </w:divBdr>
    </w:div>
    <w:div w:id="1403597708">
      <w:bodyDiv w:val="1"/>
      <w:marLeft w:val="0"/>
      <w:marRight w:val="0"/>
      <w:marTop w:val="0"/>
      <w:marBottom w:val="0"/>
      <w:divBdr>
        <w:top w:val="none" w:sz="0" w:space="0" w:color="auto"/>
        <w:left w:val="none" w:sz="0" w:space="0" w:color="auto"/>
        <w:bottom w:val="none" w:sz="0" w:space="0" w:color="auto"/>
        <w:right w:val="none" w:sz="0" w:space="0" w:color="auto"/>
      </w:divBdr>
      <w:divsChild>
        <w:div w:id="1748964767">
          <w:marLeft w:val="446"/>
          <w:marRight w:val="0"/>
          <w:marTop w:val="0"/>
          <w:marBottom w:val="0"/>
          <w:divBdr>
            <w:top w:val="none" w:sz="0" w:space="0" w:color="auto"/>
            <w:left w:val="none" w:sz="0" w:space="0" w:color="auto"/>
            <w:bottom w:val="none" w:sz="0" w:space="0" w:color="auto"/>
            <w:right w:val="none" w:sz="0" w:space="0" w:color="auto"/>
          </w:divBdr>
        </w:div>
        <w:div w:id="1639913836">
          <w:marLeft w:val="1354"/>
          <w:marRight w:val="0"/>
          <w:marTop w:val="75"/>
          <w:marBottom w:val="0"/>
          <w:divBdr>
            <w:top w:val="none" w:sz="0" w:space="0" w:color="auto"/>
            <w:left w:val="none" w:sz="0" w:space="0" w:color="auto"/>
            <w:bottom w:val="none" w:sz="0" w:space="0" w:color="auto"/>
            <w:right w:val="none" w:sz="0" w:space="0" w:color="auto"/>
          </w:divBdr>
        </w:div>
        <w:div w:id="195192681">
          <w:marLeft w:val="446"/>
          <w:marRight w:val="0"/>
          <w:marTop w:val="0"/>
          <w:marBottom w:val="0"/>
          <w:divBdr>
            <w:top w:val="none" w:sz="0" w:space="0" w:color="auto"/>
            <w:left w:val="none" w:sz="0" w:space="0" w:color="auto"/>
            <w:bottom w:val="none" w:sz="0" w:space="0" w:color="auto"/>
            <w:right w:val="none" w:sz="0" w:space="0" w:color="auto"/>
          </w:divBdr>
        </w:div>
        <w:div w:id="764572773">
          <w:marLeft w:val="1267"/>
          <w:marRight w:val="0"/>
          <w:marTop w:val="75"/>
          <w:marBottom w:val="0"/>
          <w:divBdr>
            <w:top w:val="none" w:sz="0" w:space="0" w:color="auto"/>
            <w:left w:val="none" w:sz="0" w:space="0" w:color="auto"/>
            <w:bottom w:val="none" w:sz="0" w:space="0" w:color="auto"/>
            <w:right w:val="none" w:sz="0" w:space="0" w:color="auto"/>
          </w:divBdr>
        </w:div>
        <w:div w:id="1138692389">
          <w:marLeft w:val="1267"/>
          <w:marRight w:val="0"/>
          <w:marTop w:val="75"/>
          <w:marBottom w:val="0"/>
          <w:divBdr>
            <w:top w:val="none" w:sz="0" w:space="0" w:color="auto"/>
            <w:left w:val="none" w:sz="0" w:space="0" w:color="auto"/>
            <w:bottom w:val="none" w:sz="0" w:space="0" w:color="auto"/>
            <w:right w:val="none" w:sz="0" w:space="0" w:color="auto"/>
          </w:divBdr>
        </w:div>
      </w:divsChild>
    </w:div>
    <w:div w:id="1420827725">
      <w:bodyDiv w:val="1"/>
      <w:marLeft w:val="0"/>
      <w:marRight w:val="0"/>
      <w:marTop w:val="0"/>
      <w:marBottom w:val="0"/>
      <w:divBdr>
        <w:top w:val="none" w:sz="0" w:space="0" w:color="auto"/>
        <w:left w:val="none" w:sz="0" w:space="0" w:color="auto"/>
        <w:bottom w:val="none" w:sz="0" w:space="0" w:color="auto"/>
        <w:right w:val="none" w:sz="0" w:space="0" w:color="auto"/>
      </w:divBdr>
    </w:div>
    <w:div w:id="1874686634">
      <w:bodyDiv w:val="1"/>
      <w:marLeft w:val="0"/>
      <w:marRight w:val="0"/>
      <w:marTop w:val="0"/>
      <w:marBottom w:val="0"/>
      <w:divBdr>
        <w:top w:val="none" w:sz="0" w:space="0" w:color="auto"/>
        <w:left w:val="none" w:sz="0" w:space="0" w:color="auto"/>
        <w:bottom w:val="none" w:sz="0" w:space="0" w:color="auto"/>
        <w:right w:val="none" w:sz="0" w:space="0" w:color="auto"/>
      </w:divBdr>
    </w:div>
    <w:div w:id="1916475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4DA735CFC56BB4585ADE23DBD193C50" ma:contentTypeVersion="16" ma:contentTypeDescription="Utwórz nowy dokument." ma:contentTypeScope="" ma:versionID="14bed555bfd7ad19c56c05e4ef906ed4">
  <xsd:schema xmlns:xsd="http://www.w3.org/2001/XMLSchema" xmlns:xs="http://www.w3.org/2001/XMLSchema" xmlns:p="http://schemas.microsoft.com/office/2006/metadata/properties" xmlns:ns2="2f3e3d9d-aded-4e5e-8f2b-f508d572b77f" xmlns:ns3="a0521d16-f2c4-45fa-8765-e3bb03618e65" targetNamespace="http://schemas.microsoft.com/office/2006/metadata/properties" ma:root="true" ma:fieldsID="7544c486a8c8129d8c8612f2758a28bb" ns2:_="" ns3:_="">
    <xsd:import namespace="2f3e3d9d-aded-4e5e-8f2b-f508d572b77f"/>
    <xsd:import namespace="a0521d16-f2c4-45fa-8765-e3bb03618e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3e3d9d-aded-4e5e-8f2b-f508d572b77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95194e6f-31e0-4a75-9afe-fe084f43b15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0521d16-f2c4-45fa-8765-e3bb03618e65" elementFormDefault="qualified">
    <xsd:import namespace="http://schemas.microsoft.com/office/2006/documentManagement/types"/>
    <xsd:import namespace="http://schemas.microsoft.com/office/infopath/2007/PartnerControls"/>
    <xsd:element name="SharedWithUsers" ma:index="17"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b83a89a1-cc96-4a76-91b2-3c21000c3caf}" ma:internalName="TaxCatchAll" ma:showField="CatchAllData" ma:web="a0521d16-f2c4-45fa-8765-e3bb03618e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a0521d16-f2c4-45fa-8765-e3bb03618e65" xsi:nil="true"/>
    <lcf76f155ced4ddcb4097134ff3c332f xmlns="2f3e3d9d-aded-4e5e-8f2b-f508d572b77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3F0CCE5-2DEE-47B6-BDD6-FBCCF47F4791}">
  <ds:schemaRefs>
    <ds:schemaRef ds:uri="http://schemas.openxmlformats.org/officeDocument/2006/bibliography"/>
  </ds:schemaRefs>
</ds:datastoreItem>
</file>

<file path=customXml/itemProps2.xml><?xml version="1.0" encoding="utf-8"?>
<ds:datastoreItem xmlns:ds="http://schemas.openxmlformats.org/officeDocument/2006/customXml" ds:itemID="{A32F78BB-7CA5-47E7-99C4-9F9709B2A0C1}">
  <ds:schemaRefs>
    <ds:schemaRef ds:uri="http://schemas.microsoft.com/sharepoint/v3/contenttype/forms"/>
  </ds:schemaRefs>
</ds:datastoreItem>
</file>

<file path=customXml/itemProps3.xml><?xml version="1.0" encoding="utf-8"?>
<ds:datastoreItem xmlns:ds="http://schemas.openxmlformats.org/officeDocument/2006/customXml" ds:itemID="{A4A5E145-F8A3-4895-A0AD-E19CD16ACE87}"/>
</file>

<file path=customXml/itemProps4.xml><?xml version="1.0" encoding="utf-8"?>
<ds:datastoreItem xmlns:ds="http://schemas.openxmlformats.org/officeDocument/2006/customXml" ds:itemID="{C77AF44B-B9F4-40D1-8D26-9F4579525675}">
  <ds:schemaRefs>
    <ds:schemaRef ds:uri="http://schemas.microsoft.com/office/2006/metadata/properties"/>
    <ds:schemaRef ds:uri="http://schemas.microsoft.com/office/infopath/2007/PartnerControls"/>
    <ds:schemaRef ds:uri="a0521d16-f2c4-45fa-8765-e3bb03618e65"/>
    <ds:schemaRef ds:uri="2f3e3d9d-aded-4e5e-8f2b-f508d572b77f"/>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394</Words>
  <Characters>2366</Characters>
  <Application>Microsoft Office Word</Application>
  <DocSecurity>0</DocSecurity>
  <Lines>19</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TRILUX GmbH &amp; Co</vt:lpstr>
      <vt:lpstr>TRILUX GmbH &amp; Co</vt:lpstr>
    </vt:vector>
  </TitlesOfParts>
  <Company>Trilux</Company>
  <LinksUpToDate>false</LinksUpToDate>
  <CharactersWithSpaces>2755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TRILUX GmbH &amp; Co</dc:title>
  <dc:creator>Becker Saskia</dc:creator>
  <cp:lastModifiedBy>Elżbieta Tymkowska</cp:lastModifiedBy>
  <cp:revision>2</cp:revision>
  <cp:lastPrinted>2022-05-19T07:25:00Z</cp:lastPrinted>
  <dcterms:created xsi:type="dcterms:W3CDTF">2022-09-21T14:29:00Z</dcterms:created>
  <dcterms:modified xsi:type="dcterms:W3CDTF">2022-09-21T14:29:00Z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0x010100D4DA735CFC56BB4585ADE23DBD193C50</vt:lpwstr>
  </property>
</Properties>
</file>